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F38" w:rsidRDefault="00754F38" w:rsidP="00754F38">
      <w:pPr>
        <w:jc w:val="center"/>
        <w:rPr>
          <w:rFonts w:eastAsia="標楷體" w:hAnsi="標楷體"/>
          <w:b/>
          <w:sz w:val="32"/>
          <w:szCs w:val="32"/>
        </w:rPr>
      </w:pPr>
      <w:r w:rsidRPr="007D37C0">
        <w:rPr>
          <w:rFonts w:eastAsia="標楷體" w:hAnsi="標楷體"/>
          <w:b/>
          <w:sz w:val="32"/>
          <w:szCs w:val="32"/>
        </w:rPr>
        <w:t>精神醫學與法律專題研究</w:t>
      </w:r>
      <w:r w:rsidR="00970201">
        <w:rPr>
          <w:rFonts w:eastAsia="標楷體" w:hAnsi="標楷體" w:hint="eastAsia"/>
          <w:b/>
          <w:sz w:val="32"/>
          <w:szCs w:val="32"/>
        </w:rPr>
        <w:t xml:space="preserve"> </w:t>
      </w:r>
      <w:r w:rsidR="00970201">
        <w:rPr>
          <w:rFonts w:eastAsia="標楷體" w:hAnsi="標楷體" w:hint="eastAsia"/>
          <w:b/>
          <w:sz w:val="32"/>
          <w:szCs w:val="32"/>
        </w:rPr>
        <w:t>（一、二）</w:t>
      </w:r>
    </w:p>
    <w:p w:rsidR="00EE08E9" w:rsidRPr="007D37C0" w:rsidRDefault="00A14C12" w:rsidP="00754F38">
      <w:pPr>
        <w:jc w:val="center"/>
        <w:rPr>
          <w:rFonts w:eastAsia="標楷體"/>
          <w:b/>
          <w:sz w:val="32"/>
          <w:szCs w:val="32"/>
        </w:rPr>
      </w:pPr>
      <w:r>
        <w:rPr>
          <w:rFonts w:eastAsia="標楷體" w:hAnsi="標楷體" w:hint="eastAsia"/>
          <w:b/>
          <w:sz w:val="32"/>
          <w:szCs w:val="32"/>
        </w:rPr>
        <w:t>100</w:t>
      </w:r>
      <w:r w:rsidR="00EE08E9">
        <w:rPr>
          <w:rFonts w:eastAsia="標楷體" w:hAnsi="標楷體" w:hint="eastAsia"/>
          <w:b/>
          <w:sz w:val="32"/>
          <w:szCs w:val="32"/>
        </w:rPr>
        <w:t>學年度第</w:t>
      </w:r>
      <w:r>
        <w:rPr>
          <w:rFonts w:eastAsia="標楷體" w:hAnsi="標楷體" w:hint="eastAsia"/>
          <w:b/>
          <w:sz w:val="32"/>
          <w:szCs w:val="32"/>
        </w:rPr>
        <w:t>1</w:t>
      </w:r>
      <w:r w:rsidR="00EE08E9">
        <w:rPr>
          <w:rFonts w:eastAsia="標楷體" w:hAnsi="標楷體" w:hint="eastAsia"/>
          <w:b/>
          <w:sz w:val="32"/>
          <w:szCs w:val="32"/>
        </w:rPr>
        <w:t>學期</w:t>
      </w:r>
    </w:p>
    <w:p w:rsidR="0007415B" w:rsidRDefault="00754F38" w:rsidP="0007415B">
      <w:pPr>
        <w:wordWrap w:val="0"/>
        <w:jc w:val="right"/>
        <w:rPr>
          <w:rFonts w:eastAsia="標楷體" w:hAnsi="標楷體"/>
        </w:rPr>
      </w:pPr>
      <w:r w:rsidRPr="007D37C0">
        <w:rPr>
          <w:rFonts w:eastAsia="標楷體" w:hAnsi="標楷體"/>
        </w:rPr>
        <w:t>授課老師：吳建昌</w:t>
      </w:r>
      <w:r w:rsidR="0007415B">
        <w:rPr>
          <w:rFonts w:eastAsia="標楷體" w:hAnsi="標楷體" w:hint="eastAsia"/>
        </w:rPr>
        <w:t xml:space="preserve">         </w:t>
      </w:r>
    </w:p>
    <w:p w:rsidR="00754F38" w:rsidRDefault="0007415B" w:rsidP="0007415B">
      <w:pPr>
        <w:wordWrap w:val="0"/>
        <w:jc w:val="right"/>
        <w:rPr>
          <w:rFonts w:eastAsia="標楷體"/>
        </w:rPr>
      </w:pPr>
      <w:proofErr w:type="gramStart"/>
      <w:r>
        <w:rPr>
          <w:rFonts w:eastAsia="標楷體" w:hint="eastAsia"/>
        </w:rPr>
        <w:t>e-mail</w:t>
      </w:r>
      <w:proofErr w:type="gramEnd"/>
      <w:r>
        <w:rPr>
          <w:rFonts w:eastAsia="標楷體" w:hint="eastAsia"/>
        </w:rPr>
        <w:t xml:space="preserve">: </w:t>
      </w:r>
      <w:hyperlink r:id="rId8" w:history="1">
        <w:r w:rsidRPr="00F418C4">
          <w:rPr>
            <w:rStyle w:val="a3"/>
            <w:rFonts w:eastAsia="標楷體" w:hint="eastAsia"/>
          </w:rPr>
          <w:t>ccwu88@ntu.edu.tw</w:t>
        </w:r>
      </w:hyperlink>
      <w:r>
        <w:rPr>
          <w:rFonts w:eastAsia="標楷體" w:hint="eastAsia"/>
        </w:rPr>
        <w:t xml:space="preserve">  </w:t>
      </w:r>
    </w:p>
    <w:p w:rsidR="0007415B" w:rsidRDefault="0007415B" w:rsidP="0007415B">
      <w:pPr>
        <w:wordWrap w:val="0"/>
        <w:jc w:val="right"/>
        <w:rPr>
          <w:rFonts w:eastAsia="標楷體"/>
        </w:rPr>
      </w:pPr>
      <w:r>
        <w:rPr>
          <w:rFonts w:eastAsia="標楷體" w:hint="eastAsia"/>
        </w:rPr>
        <w:t>電話：</w:t>
      </w:r>
      <w:r>
        <w:rPr>
          <w:rFonts w:eastAsia="標楷體" w:hint="eastAsia"/>
        </w:rPr>
        <w:t>23560029</w:t>
      </w:r>
      <w:r>
        <w:rPr>
          <w:rFonts w:eastAsia="標楷體" w:hint="eastAsia"/>
        </w:rPr>
        <w:t>＃</w:t>
      </w:r>
      <w:r>
        <w:rPr>
          <w:rFonts w:eastAsia="標楷體" w:hint="eastAsia"/>
        </w:rPr>
        <w:t xml:space="preserve">14       </w:t>
      </w:r>
    </w:p>
    <w:p w:rsidR="0007415B" w:rsidRPr="007D37C0" w:rsidRDefault="0007415B" w:rsidP="0007415B">
      <w:pPr>
        <w:jc w:val="right"/>
        <w:rPr>
          <w:rFonts w:eastAsia="標楷體"/>
        </w:rPr>
      </w:pPr>
      <w:r>
        <w:rPr>
          <w:rFonts w:eastAsia="標楷體" w:hint="eastAsia"/>
        </w:rPr>
        <w:t>23123456</w:t>
      </w:r>
      <w:r>
        <w:rPr>
          <w:rFonts w:eastAsia="標楷體" w:hint="eastAsia"/>
        </w:rPr>
        <w:t>＃</w:t>
      </w:r>
      <w:r>
        <w:rPr>
          <w:rFonts w:eastAsia="標楷體" w:hint="eastAsia"/>
        </w:rPr>
        <w:t>88989</w:t>
      </w:r>
      <w:r>
        <w:rPr>
          <w:rFonts w:eastAsia="標楷體" w:hint="eastAsia"/>
        </w:rPr>
        <w:t>＃</w:t>
      </w:r>
      <w:r>
        <w:rPr>
          <w:rFonts w:eastAsia="標楷體" w:hint="eastAsia"/>
        </w:rPr>
        <w:t>14</w:t>
      </w:r>
    </w:p>
    <w:p w:rsidR="00754F38" w:rsidRPr="007D37C0" w:rsidRDefault="00754F38" w:rsidP="0007415B">
      <w:pPr>
        <w:wordWrap w:val="0"/>
        <w:jc w:val="right"/>
        <w:rPr>
          <w:rFonts w:eastAsia="標楷體"/>
        </w:rPr>
      </w:pPr>
      <w:r w:rsidRPr="007D37C0">
        <w:rPr>
          <w:rFonts w:eastAsia="標楷體" w:hAnsi="標楷體"/>
        </w:rPr>
        <w:t>上課時間：週三</w:t>
      </w:r>
      <w:r w:rsidR="00BB0B2B">
        <w:rPr>
          <w:rFonts w:eastAsia="標楷體" w:hAnsi="標楷體" w:hint="eastAsia"/>
        </w:rPr>
        <w:t>3</w:t>
      </w:r>
      <w:r w:rsidRPr="007D37C0">
        <w:rPr>
          <w:rFonts w:eastAsia="標楷體"/>
        </w:rPr>
        <w:t>-</w:t>
      </w:r>
      <w:r w:rsidR="00BB0B2B">
        <w:rPr>
          <w:rFonts w:eastAsia="標楷體" w:hint="eastAsia"/>
        </w:rPr>
        <w:t>4</w:t>
      </w:r>
      <w:r w:rsidRPr="007D37C0">
        <w:rPr>
          <w:rFonts w:eastAsia="標楷體" w:hAnsi="標楷體"/>
        </w:rPr>
        <w:t>節</w:t>
      </w:r>
      <w:r w:rsidR="0007415B">
        <w:rPr>
          <w:rFonts w:eastAsia="標楷體" w:hAnsi="標楷體" w:hint="eastAsia"/>
        </w:rPr>
        <w:t xml:space="preserve">     </w:t>
      </w:r>
    </w:p>
    <w:p w:rsidR="00754F38" w:rsidRPr="007D37C0" w:rsidRDefault="00754F38" w:rsidP="00754F38">
      <w:pPr>
        <w:wordWrap w:val="0"/>
        <w:jc w:val="right"/>
        <w:rPr>
          <w:rFonts w:eastAsia="標楷體"/>
        </w:rPr>
      </w:pPr>
      <w:r w:rsidRPr="007D37C0">
        <w:rPr>
          <w:rFonts w:eastAsia="標楷體" w:hAnsi="標楷體"/>
        </w:rPr>
        <w:t>上課地點：</w:t>
      </w:r>
      <w:r w:rsidR="00FD5989">
        <w:rPr>
          <w:rFonts w:eastAsia="標楷體" w:hAnsi="標楷體" w:hint="eastAsia"/>
        </w:rPr>
        <w:t>未定</w:t>
      </w:r>
      <w:r w:rsidR="00FD5989">
        <w:rPr>
          <w:rFonts w:eastAsia="標楷體" w:hAnsi="標楷體" w:hint="eastAsia"/>
        </w:rPr>
        <w:t xml:space="preserve">         </w:t>
      </w:r>
    </w:p>
    <w:p w:rsidR="00153397" w:rsidRPr="007D37C0" w:rsidRDefault="00153397" w:rsidP="007A7538">
      <w:pPr>
        <w:rPr>
          <w:rFonts w:eastAsia="標楷體"/>
          <w:b/>
          <w:color w:val="000000"/>
          <w:sz w:val="28"/>
          <w:szCs w:val="28"/>
        </w:rPr>
      </w:pPr>
      <w:r w:rsidRPr="007D37C0">
        <w:rPr>
          <w:rFonts w:eastAsia="標楷體" w:hAnsi="標楷體"/>
          <w:b/>
          <w:color w:val="000000"/>
          <w:sz w:val="28"/>
          <w:szCs w:val="28"/>
        </w:rPr>
        <w:t>課程目標：</w:t>
      </w:r>
    </w:p>
    <w:p w:rsidR="00BE3D10" w:rsidRPr="007D37C0" w:rsidRDefault="00256EAE" w:rsidP="007A7538">
      <w:pPr>
        <w:ind w:firstLineChars="225" w:firstLine="540"/>
        <w:rPr>
          <w:rFonts w:eastAsia="標楷體"/>
          <w:color w:val="000000"/>
        </w:rPr>
      </w:pPr>
      <w:r w:rsidRPr="007D37C0">
        <w:rPr>
          <w:rFonts w:eastAsia="標楷體" w:hAnsi="標楷體"/>
          <w:color w:val="000000"/>
        </w:rPr>
        <w:t>「精神醫學與法律專題研究」這門課，主要目標在於</w:t>
      </w:r>
      <w:r w:rsidR="00930F18" w:rsidRPr="007D37C0">
        <w:rPr>
          <w:rFonts w:eastAsia="標楷體" w:hAnsi="標楷體"/>
          <w:color w:val="000000"/>
        </w:rPr>
        <w:t>探討在「</w:t>
      </w:r>
      <w:r w:rsidR="00375035" w:rsidRPr="007D37C0">
        <w:rPr>
          <w:rFonts w:eastAsia="標楷體" w:hAnsi="標楷體"/>
          <w:color w:val="000000"/>
        </w:rPr>
        <w:t>意思</w:t>
      </w:r>
      <w:r w:rsidR="00930F18" w:rsidRPr="007D37C0">
        <w:rPr>
          <w:rFonts w:eastAsia="標楷體" w:hAnsi="標楷體"/>
          <w:color w:val="000000"/>
        </w:rPr>
        <w:t>」、</w:t>
      </w:r>
      <w:r w:rsidR="00375035" w:rsidRPr="007D37C0">
        <w:rPr>
          <w:rFonts w:eastAsia="標楷體" w:hAnsi="標楷體"/>
          <w:color w:val="000000"/>
        </w:rPr>
        <w:t>「行為」、</w:t>
      </w:r>
      <w:r w:rsidR="00930F18" w:rsidRPr="007D37C0">
        <w:rPr>
          <w:rFonts w:eastAsia="標楷體" w:hAnsi="標楷體"/>
          <w:color w:val="000000"/>
        </w:rPr>
        <w:t>「能力」、「責任」、「危險」、「自由」及「權利」等概念及相關社會制度中，</w:t>
      </w:r>
      <w:r w:rsidRPr="007D37C0">
        <w:rPr>
          <w:rFonts w:eastAsia="標楷體" w:hAnsi="標楷體"/>
          <w:color w:val="000000"/>
        </w:rPr>
        <w:t>精神醫學與法律這兩種</w:t>
      </w:r>
      <w:r w:rsidR="00930F18" w:rsidRPr="007D37C0">
        <w:rPr>
          <w:rFonts w:eastAsia="標楷體" w:hAnsi="標楷體"/>
          <w:color w:val="000000"/>
        </w:rPr>
        <w:t>操作</w:t>
      </w:r>
      <w:r w:rsidRPr="007D37C0">
        <w:rPr>
          <w:rFonts w:eastAsia="標楷體" w:hAnsi="標楷體"/>
          <w:color w:val="000000"/>
        </w:rPr>
        <w:t>人的行為的學門，</w:t>
      </w:r>
      <w:r w:rsidR="00930F18" w:rsidRPr="007D37C0">
        <w:rPr>
          <w:rFonts w:eastAsia="標楷體" w:hAnsi="標楷體"/>
          <w:color w:val="000000"/>
        </w:rPr>
        <w:t>如何</w:t>
      </w:r>
      <w:r w:rsidRPr="007D37C0">
        <w:rPr>
          <w:rFonts w:eastAsia="標楷體" w:hAnsi="標楷體"/>
          <w:color w:val="000000"/>
        </w:rPr>
        <w:t>在「人心」</w:t>
      </w:r>
      <w:r w:rsidRPr="007D37C0">
        <w:rPr>
          <w:rFonts w:eastAsia="標楷體"/>
          <w:color w:val="000000"/>
        </w:rPr>
        <w:t>(</w:t>
      </w:r>
      <w:r w:rsidR="00123A59" w:rsidRPr="007D37C0">
        <w:rPr>
          <w:rFonts w:eastAsia="標楷體"/>
          <w:color w:val="000000"/>
        </w:rPr>
        <w:t xml:space="preserve">human </w:t>
      </w:r>
      <w:r w:rsidRPr="007D37C0">
        <w:rPr>
          <w:rFonts w:eastAsia="標楷體"/>
          <w:color w:val="000000"/>
        </w:rPr>
        <w:t>mind)</w:t>
      </w:r>
      <w:r w:rsidRPr="007D37C0">
        <w:rPr>
          <w:rFonts w:eastAsia="標楷體" w:hAnsi="標楷體"/>
          <w:color w:val="000000"/>
        </w:rPr>
        <w:t>的建構上產生互動</w:t>
      </w:r>
      <w:r w:rsidR="00930F18" w:rsidRPr="007D37C0">
        <w:rPr>
          <w:rFonts w:eastAsia="標楷體" w:hAnsi="標楷體"/>
          <w:color w:val="000000"/>
        </w:rPr>
        <w:t>（衝突或並容），</w:t>
      </w:r>
      <w:r w:rsidR="00123A59" w:rsidRPr="007D37C0">
        <w:rPr>
          <w:rFonts w:eastAsia="標楷體" w:hAnsi="標楷體"/>
          <w:color w:val="000000"/>
        </w:rPr>
        <w:t>以</w:t>
      </w:r>
      <w:r w:rsidR="00930F18" w:rsidRPr="007D37C0">
        <w:rPr>
          <w:rFonts w:eastAsia="標楷體" w:hAnsi="標楷體"/>
          <w:color w:val="000000"/>
        </w:rPr>
        <w:t>達到維持社會秩序的目的</w:t>
      </w:r>
      <w:r w:rsidRPr="007D37C0">
        <w:rPr>
          <w:rFonts w:eastAsia="標楷體" w:hAnsi="標楷體"/>
          <w:color w:val="000000"/>
        </w:rPr>
        <w:t>。</w:t>
      </w:r>
      <w:r w:rsidR="00930F18" w:rsidRPr="007D37C0">
        <w:rPr>
          <w:rFonts w:eastAsia="標楷體" w:hAnsi="Verdana"/>
        </w:rPr>
        <w:t>精神醫學自其發展伊始，即帶有某種「法律性」</w:t>
      </w:r>
      <w:r w:rsidR="00930F18" w:rsidRPr="007D37C0">
        <w:rPr>
          <w:rFonts w:eastAsia="標楷體"/>
        </w:rPr>
        <w:t>(</w:t>
      </w:r>
      <w:proofErr w:type="spellStart"/>
      <w:r w:rsidR="00930F18" w:rsidRPr="007D37C0">
        <w:rPr>
          <w:rFonts w:eastAsia="標楷體"/>
        </w:rPr>
        <w:t>forensicity</w:t>
      </w:r>
      <w:proofErr w:type="spellEnd"/>
      <w:r w:rsidR="00930F18" w:rsidRPr="007D37C0">
        <w:rPr>
          <w:rFonts w:eastAsia="標楷體"/>
        </w:rPr>
        <w:t>)</w:t>
      </w:r>
      <w:r w:rsidR="00123A59" w:rsidRPr="007D37C0">
        <w:rPr>
          <w:rFonts w:eastAsia="標楷體" w:hAnsi="Verdana"/>
        </w:rPr>
        <w:t>；法律作為社會治理</w:t>
      </w:r>
      <w:r w:rsidR="00123A59" w:rsidRPr="007D37C0">
        <w:rPr>
          <w:rFonts w:eastAsia="標楷體"/>
        </w:rPr>
        <w:t>(social governance)</w:t>
      </w:r>
      <w:r w:rsidR="00123A59" w:rsidRPr="007D37C0">
        <w:rPr>
          <w:rFonts w:eastAsia="標楷體" w:hAnsi="Verdana"/>
        </w:rPr>
        <w:t>的制度，乃構築於其對於被管制對象</w:t>
      </w:r>
      <w:proofErr w:type="gramStart"/>
      <w:r w:rsidR="00123A59" w:rsidRPr="007D37C0">
        <w:rPr>
          <w:rFonts w:eastAsia="標楷體"/>
        </w:rPr>
        <w:t>─</w:t>
      </w:r>
      <w:proofErr w:type="gramEnd"/>
      <w:r w:rsidR="00123A59" w:rsidRPr="007D37C0">
        <w:rPr>
          <w:rFonts w:eastAsia="標楷體" w:hAnsi="Verdana"/>
        </w:rPr>
        <w:t>「人」</w:t>
      </w:r>
      <w:proofErr w:type="gramStart"/>
      <w:r w:rsidR="00123A59" w:rsidRPr="007D37C0">
        <w:rPr>
          <w:rFonts w:eastAsia="標楷體"/>
        </w:rPr>
        <w:t>─</w:t>
      </w:r>
      <w:proofErr w:type="gramEnd"/>
      <w:r w:rsidR="00123A59" w:rsidRPr="007D37C0">
        <w:rPr>
          <w:rFonts w:eastAsia="標楷體" w:hAnsi="Verdana"/>
        </w:rPr>
        <w:t>之理解與假設上，法律之語彙與管制措施經常需要確定行為人之心理狀態，</w:t>
      </w:r>
      <w:r w:rsidR="00153397" w:rsidRPr="007D37C0">
        <w:rPr>
          <w:rFonts w:eastAsia="標楷體" w:hAnsi="Verdana"/>
        </w:rPr>
        <w:t>因此</w:t>
      </w:r>
      <w:r w:rsidR="00930F18" w:rsidRPr="007D37C0">
        <w:rPr>
          <w:rFonts w:eastAsia="標楷體" w:hAnsi="Verdana"/>
        </w:rPr>
        <w:t>精神科醫師</w:t>
      </w:r>
      <w:r w:rsidR="00153397" w:rsidRPr="007D37C0">
        <w:rPr>
          <w:rFonts w:eastAsia="標楷體"/>
        </w:rPr>
        <w:t>(psychiatrists)</w:t>
      </w:r>
      <w:r w:rsidR="00930F18" w:rsidRPr="007D37C0">
        <w:rPr>
          <w:rFonts w:eastAsia="標楷體" w:hAnsi="Verdana"/>
        </w:rPr>
        <w:t>經常以研究</w:t>
      </w:r>
      <w:r w:rsidR="00153397" w:rsidRPr="007D37C0">
        <w:rPr>
          <w:rFonts w:eastAsia="標楷體" w:hAnsi="Verdana"/>
        </w:rPr>
        <w:t>人</w:t>
      </w:r>
      <w:r w:rsidR="00930F18" w:rsidRPr="007D37C0">
        <w:rPr>
          <w:rFonts w:eastAsia="標楷體" w:hAnsi="Verdana"/>
        </w:rPr>
        <w:t>心之專業身份參與法律事務之決定</w:t>
      </w:r>
      <w:r w:rsidR="00153397" w:rsidRPr="007D37C0">
        <w:rPr>
          <w:rFonts w:eastAsia="標楷體" w:hAnsi="Verdana"/>
        </w:rPr>
        <w:t>，與法律人</w:t>
      </w:r>
      <w:r w:rsidR="00153397" w:rsidRPr="007D37C0">
        <w:rPr>
          <w:rFonts w:eastAsia="標楷體"/>
        </w:rPr>
        <w:t>(lawyers)</w:t>
      </w:r>
      <w:r w:rsidR="00153397" w:rsidRPr="007D37C0">
        <w:rPr>
          <w:rFonts w:eastAsia="標楷體" w:hAnsi="Verdana"/>
        </w:rPr>
        <w:t>共同決定人的「處置」</w:t>
      </w:r>
      <w:r w:rsidR="00153397" w:rsidRPr="007D37C0">
        <w:rPr>
          <w:rFonts w:eastAsia="標楷體" w:hAnsi="標楷體"/>
        </w:rPr>
        <w:t>（</w:t>
      </w:r>
      <w:r w:rsidR="00153397" w:rsidRPr="007D37C0">
        <w:rPr>
          <w:rFonts w:eastAsia="標楷體"/>
        </w:rPr>
        <w:t>disposition</w:t>
      </w:r>
      <w:r w:rsidR="00153397" w:rsidRPr="007D37C0">
        <w:rPr>
          <w:rFonts w:eastAsia="標楷體" w:hAnsi="標楷體"/>
        </w:rPr>
        <w:t>）</w:t>
      </w:r>
      <w:r w:rsidR="00930F18" w:rsidRPr="007D37C0">
        <w:rPr>
          <w:rFonts w:eastAsia="標楷體" w:hAnsi="Verdana"/>
        </w:rPr>
        <w:t>。</w:t>
      </w:r>
      <w:r w:rsidR="00123A59" w:rsidRPr="007D37C0">
        <w:rPr>
          <w:rFonts w:eastAsia="標楷體" w:hAnsi="Verdana"/>
        </w:rPr>
        <w:t>然而</w:t>
      </w:r>
      <w:r w:rsidR="00153397" w:rsidRPr="007D37C0">
        <w:rPr>
          <w:rFonts w:eastAsia="標楷體" w:hAnsi="Verdana"/>
        </w:rPr>
        <w:t>在其發展之歷程中，精神醫學與法學</w:t>
      </w:r>
      <w:r w:rsidR="00123A59" w:rsidRPr="007D37C0">
        <w:rPr>
          <w:rFonts w:eastAsia="標楷體" w:hAnsi="Verdana"/>
        </w:rPr>
        <w:t>在</w:t>
      </w:r>
      <w:r w:rsidR="00153397" w:rsidRPr="007D37C0">
        <w:rPr>
          <w:rFonts w:eastAsia="標楷體" w:hAnsi="Verdana"/>
        </w:rPr>
        <w:t>多</w:t>
      </w:r>
      <w:r w:rsidR="00123A59" w:rsidRPr="007D37C0">
        <w:rPr>
          <w:rFonts w:eastAsia="標楷體" w:hAnsi="Verdana"/>
        </w:rPr>
        <w:t>種議題上發生過激盪</w:t>
      </w:r>
      <w:r w:rsidR="00153397" w:rsidRPr="007D37C0">
        <w:rPr>
          <w:rFonts w:eastAsia="標楷體" w:hAnsi="Verdana"/>
        </w:rPr>
        <w:t>、</w:t>
      </w:r>
      <w:r w:rsidR="00123A59" w:rsidRPr="007D37C0">
        <w:rPr>
          <w:rFonts w:eastAsia="標楷體" w:hAnsi="Verdana"/>
        </w:rPr>
        <w:t>衝突與互相為用</w:t>
      </w:r>
      <w:r w:rsidR="00153397" w:rsidRPr="007D37C0">
        <w:rPr>
          <w:rFonts w:eastAsia="標楷體" w:hAnsi="Verdana"/>
        </w:rPr>
        <w:t>等複雜之關係。因此本堂課將</w:t>
      </w:r>
      <w:r w:rsidRPr="007D37C0">
        <w:rPr>
          <w:rFonts w:eastAsia="標楷體" w:hAnsi="標楷體"/>
          <w:color w:val="000000"/>
        </w:rPr>
        <w:t>會以實際案例（台灣或美國）作為引子，</w:t>
      </w:r>
      <w:r w:rsidR="00D972C3" w:rsidRPr="007D37C0">
        <w:rPr>
          <w:rFonts w:eastAsia="標楷體" w:hAnsi="標楷體"/>
          <w:color w:val="000000"/>
        </w:rPr>
        <w:t>藉由討論，</w:t>
      </w:r>
      <w:r w:rsidRPr="007D37C0">
        <w:rPr>
          <w:rFonts w:eastAsia="標楷體" w:hAnsi="標楷體"/>
          <w:color w:val="000000"/>
        </w:rPr>
        <w:t>從精神醫學與法律這兩種架構交錯分析，探討國家如何藉著</w:t>
      </w:r>
      <w:r w:rsidR="00153397" w:rsidRPr="007D37C0">
        <w:rPr>
          <w:rFonts w:eastAsia="標楷體" w:hAnsi="標楷體"/>
          <w:color w:val="000000"/>
        </w:rPr>
        <w:t>人心的建構</w:t>
      </w:r>
      <w:r w:rsidRPr="007D37C0">
        <w:rPr>
          <w:rFonts w:eastAsia="標楷體" w:hAnsi="標楷體"/>
          <w:color w:val="000000"/>
        </w:rPr>
        <w:t>來達到治理</w:t>
      </w:r>
      <w:r w:rsidRPr="007D37C0">
        <w:rPr>
          <w:rFonts w:eastAsia="標楷體"/>
          <w:color w:val="000000"/>
        </w:rPr>
        <w:t>(govern)</w:t>
      </w:r>
      <w:r w:rsidRPr="007D37C0">
        <w:rPr>
          <w:rFonts w:eastAsia="標楷體" w:hAnsi="標楷體"/>
          <w:color w:val="000000"/>
        </w:rPr>
        <w:t>「異常人」</w:t>
      </w:r>
      <w:r w:rsidR="00153397" w:rsidRPr="007D37C0">
        <w:rPr>
          <w:rFonts w:eastAsia="標楷體" w:hAnsi="標楷體"/>
          <w:color w:val="000000"/>
        </w:rPr>
        <w:t>及「正常人」</w:t>
      </w:r>
      <w:r w:rsidRPr="007D37C0">
        <w:rPr>
          <w:rFonts w:eastAsia="標楷體" w:hAnsi="標楷體"/>
          <w:color w:val="000000"/>
        </w:rPr>
        <w:t>並維持社會秩序的目的。</w:t>
      </w:r>
    </w:p>
    <w:p w:rsidR="008E0DA0" w:rsidRPr="007D37C0" w:rsidRDefault="00D972C3" w:rsidP="007A7538">
      <w:pPr>
        <w:ind w:firstLineChars="225" w:firstLine="540"/>
        <w:rPr>
          <w:rFonts w:eastAsia="標楷體"/>
          <w:color w:val="000000"/>
        </w:rPr>
      </w:pPr>
      <w:r w:rsidRPr="007D37C0">
        <w:rPr>
          <w:rFonts w:eastAsia="標楷體" w:hAnsi="標楷體"/>
          <w:color w:val="000000"/>
        </w:rPr>
        <w:t>本課程期待參與的同學能夠與老師共同自我教育，因此強調課堂上的面對面的思</w:t>
      </w:r>
      <w:r w:rsidR="008E0DA0" w:rsidRPr="007D37C0">
        <w:rPr>
          <w:rFonts w:eastAsia="標楷體" w:hAnsi="標楷體"/>
          <w:color w:val="000000"/>
        </w:rPr>
        <w:t>辨</w:t>
      </w:r>
      <w:r w:rsidRPr="007D37C0">
        <w:rPr>
          <w:rFonts w:eastAsia="標楷體" w:hAnsi="標楷體"/>
          <w:color w:val="000000"/>
        </w:rPr>
        <w:t>討論。在課堂上，</w:t>
      </w:r>
      <w:proofErr w:type="gramStart"/>
      <w:r w:rsidR="00711CA1" w:rsidRPr="007D37C0">
        <w:rPr>
          <w:rFonts w:eastAsia="標楷體" w:hAnsi="標楷體"/>
          <w:color w:val="000000"/>
        </w:rPr>
        <w:t>各種</w:t>
      </w:r>
      <w:r w:rsidRPr="007D37C0">
        <w:rPr>
          <w:rFonts w:eastAsia="標楷體" w:hAnsi="標楷體"/>
          <w:color w:val="000000"/>
        </w:rPr>
        <w:t>築</w:t>
      </w:r>
      <w:proofErr w:type="gramEnd"/>
      <w:r w:rsidRPr="007D37C0">
        <w:rPr>
          <w:rFonts w:eastAsia="標楷體" w:hAnsi="標楷體"/>
          <w:color w:val="000000"/>
        </w:rPr>
        <w:t>基於</w:t>
      </w:r>
      <w:r w:rsidR="00711CA1" w:rsidRPr="007D37C0">
        <w:rPr>
          <w:rFonts w:eastAsia="標楷體" w:hAnsi="標楷體"/>
          <w:color w:val="000000"/>
        </w:rPr>
        <w:t>「對於</w:t>
      </w:r>
      <w:r w:rsidRPr="007D37C0">
        <w:rPr>
          <w:rFonts w:eastAsia="標楷體" w:hAnsi="標楷體"/>
          <w:color w:val="000000"/>
        </w:rPr>
        <w:t>人心</w:t>
      </w:r>
      <w:r w:rsidR="00711CA1" w:rsidRPr="007D37C0">
        <w:rPr>
          <w:rFonts w:eastAsia="標楷體" w:hAnsi="標楷體"/>
          <w:color w:val="000000"/>
        </w:rPr>
        <w:t>之</w:t>
      </w:r>
      <w:r w:rsidRPr="007D37C0">
        <w:rPr>
          <w:rFonts w:eastAsia="標楷體" w:hAnsi="標楷體"/>
          <w:color w:val="000000"/>
        </w:rPr>
        <w:t>假設</w:t>
      </w:r>
      <w:r w:rsidR="00711CA1" w:rsidRPr="007D37C0">
        <w:rPr>
          <w:rFonts w:eastAsia="標楷體" w:hAnsi="標楷體"/>
          <w:color w:val="000000"/>
        </w:rPr>
        <w:t>」</w:t>
      </w:r>
      <w:r w:rsidRPr="007D37C0">
        <w:rPr>
          <w:rFonts w:eastAsia="標楷體" w:hAnsi="標楷體"/>
          <w:color w:val="000000"/>
        </w:rPr>
        <w:t>之社會制度皆可被檢討，因此永遠都有正反</w:t>
      </w:r>
      <w:proofErr w:type="gramStart"/>
      <w:r w:rsidRPr="007D37C0">
        <w:rPr>
          <w:rFonts w:eastAsia="標楷體" w:hAnsi="標楷體"/>
          <w:color w:val="000000"/>
        </w:rPr>
        <w:t>兩面</w:t>
      </w:r>
      <w:r w:rsidR="00711CA1" w:rsidRPr="007D37C0">
        <w:rPr>
          <w:rFonts w:eastAsia="標楷體" w:hAnsi="標楷體"/>
          <w:color w:val="000000"/>
        </w:rPr>
        <w:t>（</w:t>
      </w:r>
      <w:proofErr w:type="gramEnd"/>
      <w:r w:rsidR="00711CA1" w:rsidRPr="007D37C0">
        <w:rPr>
          <w:rFonts w:eastAsia="標楷體" w:hAnsi="標楷體"/>
          <w:color w:val="000000"/>
        </w:rPr>
        <w:t>或多面）意見發展之可能性</w:t>
      </w:r>
      <w:r w:rsidR="00BE3D10" w:rsidRPr="007D37C0">
        <w:rPr>
          <w:rFonts w:eastAsia="標楷體" w:hAnsi="標楷體"/>
          <w:color w:val="000000"/>
        </w:rPr>
        <w:t>，而精神醫學與法律</w:t>
      </w:r>
      <w:r w:rsidR="008E0DA0" w:rsidRPr="007D37C0">
        <w:rPr>
          <w:rFonts w:eastAsia="標楷體" w:hAnsi="標楷體"/>
          <w:color w:val="000000"/>
        </w:rPr>
        <w:t>除了是分析的工具外，本身</w:t>
      </w:r>
      <w:r w:rsidR="00BE3D10" w:rsidRPr="007D37C0">
        <w:rPr>
          <w:rFonts w:eastAsia="標楷體" w:hAnsi="標楷體"/>
          <w:color w:val="000000"/>
        </w:rPr>
        <w:t>同時</w:t>
      </w:r>
      <w:r w:rsidR="008E0DA0" w:rsidRPr="007D37C0">
        <w:rPr>
          <w:rFonts w:eastAsia="標楷體" w:hAnsi="標楷體"/>
          <w:color w:val="000000"/>
        </w:rPr>
        <w:t>也</w:t>
      </w:r>
      <w:r w:rsidR="00BE3D10" w:rsidRPr="007D37C0">
        <w:rPr>
          <w:rFonts w:eastAsia="標楷體" w:hAnsi="標楷體"/>
          <w:color w:val="000000"/>
        </w:rPr>
        <w:t>成了被檢視的對象</w:t>
      </w:r>
      <w:r w:rsidRPr="007D37C0">
        <w:rPr>
          <w:rFonts w:eastAsia="標楷體" w:hAnsi="標楷體"/>
          <w:color w:val="000000"/>
        </w:rPr>
        <w:t>。</w:t>
      </w:r>
      <w:r w:rsidR="008E0DA0" w:rsidRPr="007D37C0">
        <w:rPr>
          <w:rFonts w:eastAsia="標楷體" w:hAnsi="標楷體"/>
          <w:color w:val="000000"/>
        </w:rPr>
        <w:t>在</w:t>
      </w:r>
      <w:r w:rsidR="00AE6D82" w:rsidRPr="007D37C0">
        <w:rPr>
          <w:rFonts w:eastAsia="標楷體" w:hAnsi="標楷體"/>
          <w:color w:val="000000"/>
        </w:rPr>
        <w:t>每</w:t>
      </w:r>
      <w:r w:rsidR="008E0DA0" w:rsidRPr="007D37C0">
        <w:rPr>
          <w:rFonts w:eastAsia="標楷體" w:hAnsi="標楷體"/>
          <w:color w:val="000000"/>
        </w:rPr>
        <w:t>一堂課，老師將預先發給同學在本學期將進行</w:t>
      </w:r>
      <w:r w:rsidR="002A1841" w:rsidRPr="007D37C0">
        <w:rPr>
          <w:rFonts w:eastAsia="標楷體" w:hAnsi="標楷體"/>
          <w:color w:val="000000"/>
        </w:rPr>
        <w:t>討</w:t>
      </w:r>
      <w:r w:rsidR="008E0DA0" w:rsidRPr="007D37C0">
        <w:rPr>
          <w:rFonts w:eastAsia="標楷體" w:hAnsi="標楷體"/>
          <w:color w:val="000000"/>
        </w:rPr>
        <w:t>論之問題、參考案例以及基本讀物（通常兼顧正反意見），而讀物</w:t>
      </w:r>
      <w:r w:rsidR="004C592F">
        <w:rPr>
          <w:rFonts w:eastAsia="標楷體" w:hAnsi="標楷體" w:hint="eastAsia"/>
          <w:color w:val="000000"/>
        </w:rPr>
        <w:t>（分成必讀與選讀）</w:t>
      </w:r>
      <w:r w:rsidR="008E0DA0" w:rsidRPr="007D37C0">
        <w:rPr>
          <w:rFonts w:eastAsia="標楷體" w:hAnsi="標楷體"/>
          <w:color w:val="000000"/>
        </w:rPr>
        <w:t>份量以不造成大家過度負擔為原則。之後，每堂課主要進行方式：老師會先對某問題做介紹，同學再以案例、指定讀物</w:t>
      </w:r>
      <w:r w:rsidR="00977E36" w:rsidRPr="007D37C0">
        <w:rPr>
          <w:rFonts w:eastAsia="標楷體" w:hAnsi="標楷體"/>
          <w:color w:val="000000"/>
        </w:rPr>
        <w:t>或</w:t>
      </w:r>
      <w:r w:rsidR="008E0DA0" w:rsidRPr="007D37C0">
        <w:rPr>
          <w:rFonts w:eastAsia="標楷體" w:hAnsi="標楷體"/>
          <w:color w:val="000000"/>
        </w:rPr>
        <w:t>大家自行蒐集素材</w:t>
      </w:r>
      <w:r w:rsidR="00E2551F">
        <w:rPr>
          <w:rFonts w:eastAsia="標楷體" w:hAnsi="標楷體" w:hint="eastAsia"/>
          <w:color w:val="000000"/>
        </w:rPr>
        <w:t>整理成文字摘要，</w:t>
      </w:r>
      <w:r w:rsidR="008E0DA0" w:rsidRPr="007D37C0">
        <w:rPr>
          <w:rFonts w:eastAsia="標楷體" w:hAnsi="標楷體"/>
          <w:color w:val="000000"/>
        </w:rPr>
        <w:t>進行</w:t>
      </w:r>
      <w:r w:rsidR="00977E36" w:rsidRPr="007D37C0">
        <w:rPr>
          <w:rFonts w:eastAsia="標楷體" w:hAnsi="標楷體"/>
          <w:color w:val="000000"/>
        </w:rPr>
        <w:t>報告</w:t>
      </w:r>
      <w:r w:rsidR="008E0DA0" w:rsidRPr="007D37C0">
        <w:rPr>
          <w:rFonts w:eastAsia="標楷體" w:hAnsi="標楷體"/>
          <w:color w:val="000000"/>
        </w:rPr>
        <w:t>（每堂課一個題材，每題材兩人，一正一反</w:t>
      </w:r>
      <w:proofErr w:type="gramStart"/>
      <w:r w:rsidR="008E0DA0" w:rsidRPr="007D37C0">
        <w:rPr>
          <w:rFonts w:eastAsia="標楷體" w:hAnsi="標楷體"/>
          <w:color w:val="000000"/>
        </w:rPr>
        <w:t>）</w:t>
      </w:r>
      <w:proofErr w:type="gramEnd"/>
      <w:r w:rsidR="008E0DA0" w:rsidRPr="007D37C0">
        <w:rPr>
          <w:rFonts w:eastAsia="標楷體" w:hAnsi="標楷體"/>
          <w:color w:val="000000"/>
        </w:rPr>
        <w:t>，</w:t>
      </w:r>
      <w:r w:rsidR="00977E36" w:rsidRPr="007D37C0">
        <w:rPr>
          <w:rFonts w:eastAsia="標楷體" w:hAnsi="標楷體"/>
          <w:color w:val="000000"/>
        </w:rPr>
        <w:t>報告</w:t>
      </w:r>
      <w:r w:rsidR="008E0DA0" w:rsidRPr="007D37C0">
        <w:rPr>
          <w:rFonts w:eastAsia="標楷體" w:hAnsi="標楷體"/>
          <w:color w:val="000000"/>
        </w:rPr>
        <w:t>之後</w:t>
      </w:r>
      <w:r w:rsidR="004C316F" w:rsidRPr="007D37C0">
        <w:rPr>
          <w:rFonts w:eastAsia="標楷體" w:hAnsi="標楷體"/>
          <w:color w:val="000000"/>
        </w:rPr>
        <w:t>由老師與同學</w:t>
      </w:r>
      <w:r w:rsidR="00977E36" w:rsidRPr="007D37C0">
        <w:rPr>
          <w:rFonts w:eastAsia="標楷體" w:hAnsi="標楷體"/>
          <w:color w:val="000000"/>
        </w:rPr>
        <w:t>們進行</w:t>
      </w:r>
      <w:r w:rsidR="004C316F" w:rsidRPr="007D37C0">
        <w:rPr>
          <w:rFonts w:eastAsia="標楷體" w:hAnsi="標楷體"/>
          <w:color w:val="000000"/>
        </w:rPr>
        <w:t>自由討論</w:t>
      </w:r>
      <w:r w:rsidR="008E0DA0" w:rsidRPr="007D37C0">
        <w:rPr>
          <w:rFonts w:eastAsia="標楷體" w:hAnsi="標楷體"/>
          <w:color w:val="000000"/>
        </w:rPr>
        <w:t>，最後老師進行補充</w:t>
      </w:r>
      <w:r w:rsidR="004C316F" w:rsidRPr="007D37C0">
        <w:rPr>
          <w:rFonts w:eastAsia="標楷體" w:hAnsi="標楷體"/>
          <w:color w:val="000000"/>
        </w:rPr>
        <w:t>講解</w:t>
      </w:r>
      <w:r w:rsidR="008E0DA0" w:rsidRPr="007D37C0">
        <w:rPr>
          <w:rFonts w:eastAsia="標楷體" w:hAnsi="標楷體"/>
          <w:color w:val="000000"/>
        </w:rPr>
        <w:t>。</w:t>
      </w:r>
      <w:r w:rsidR="00977E36" w:rsidRPr="007D37C0">
        <w:rPr>
          <w:rFonts w:eastAsia="標楷體" w:hAnsi="標楷體"/>
          <w:color w:val="000000"/>
        </w:rPr>
        <w:t>在本堂課中，老師所扮演之角色，</w:t>
      </w:r>
      <w:r w:rsidR="00D428A2" w:rsidRPr="007D37C0">
        <w:rPr>
          <w:rFonts w:eastAsia="標楷體" w:hAnsi="標楷體"/>
          <w:color w:val="000000"/>
        </w:rPr>
        <w:t>包括</w:t>
      </w:r>
      <w:r w:rsidR="00977E36" w:rsidRPr="007D37C0">
        <w:rPr>
          <w:rFonts w:eastAsia="標楷體" w:hAnsi="標楷體"/>
          <w:color w:val="000000"/>
        </w:rPr>
        <w:t>法律分析</w:t>
      </w:r>
      <w:r w:rsidR="00D428A2" w:rsidRPr="007D37C0">
        <w:rPr>
          <w:rFonts w:eastAsia="標楷體" w:hAnsi="標楷體"/>
          <w:color w:val="000000"/>
        </w:rPr>
        <w:t>教育者及</w:t>
      </w:r>
      <w:r w:rsidR="00977E36" w:rsidRPr="007D37C0">
        <w:rPr>
          <w:rFonts w:eastAsia="標楷體" w:hAnsi="標楷體"/>
          <w:color w:val="000000"/>
        </w:rPr>
        <w:t>臨床精神醫學專家，</w:t>
      </w:r>
      <w:r w:rsidR="00D428A2" w:rsidRPr="007D37C0">
        <w:rPr>
          <w:rFonts w:eastAsia="標楷體" w:hAnsi="標楷體"/>
          <w:color w:val="000000"/>
        </w:rPr>
        <w:t>因此可以</w:t>
      </w:r>
      <w:r w:rsidR="00977E36" w:rsidRPr="007D37C0">
        <w:rPr>
          <w:rFonts w:eastAsia="標楷體" w:hAnsi="標楷體"/>
          <w:color w:val="000000"/>
        </w:rPr>
        <w:t>協助同學們更</w:t>
      </w:r>
      <w:r w:rsidR="00D428A2" w:rsidRPr="007D37C0">
        <w:rPr>
          <w:rFonts w:eastAsia="標楷體" w:hAnsi="標楷體"/>
          <w:color w:val="000000"/>
        </w:rPr>
        <w:t>了</w:t>
      </w:r>
      <w:r w:rsidR="00977E36" w:rsidRPr="007D37C0">
        <w:rPr>
          <w:rFonts w:eastAsia="標楷體" w:hAnsi="標楷體"/>
          <w:color w:val="000000"/>
        </w:rPr>
        <w:t>解精神醫學。</w:t>
      </w:r>
      <w:r w:rsidR="00C30288" w:rsidRPr="007D37C0">
        <w:rPr>
          <w:rFonts w:eastAsia="標楷體" w:hAnsi="標楷體"/>
          <w:color w:val="000000"/>
        </w:rPr>
        <w:t>在某些課程中，則將</w:t>
      </w:r>
      <w:r w:rsidR="005508C5">
        <w:rPr>
          <w:rFonts w:eastAsia="標楷體" w:hAnsi="標楷體" w:hint="eastAsia"/>
          <w:color w:val="000000"/>
        </w:rPr>
        <w:t>請</w:t>
      </w:r>
      <w:r w:rsidR="00C30288" w:rsidRPr="007D37C0">
        <w:rPr>
          <w:rFonts w:eastAsia="標楷體" w:hAnsi="標楷體"/>
          <w:color w:val="000000"/>
        </w:rPr>
        <w:t>穿插</w:t>
      </w:r>
      <w:r w:rsidR="005508C5">
        <w:rPr>
          <w:rFonts w:eastAsia="標楷體" w:hAnsi="標楷體" w:hint="eastAsia"/>
          <w:color w:val="000000"/>
        </w:rPr>
        <w:t>相關題材之</w:t>
      </w:r>
      <w:r w:rsidR="00C30288" w:rsidRPr="007D37C0">
        <w:rPr>
          <w:rFonts w:eastAsia="標楷體" w:hAnsi="標楷體"/>
          <w:color w:val="000000"/>
        </w:rPr>
        <w:t>電影</w:t>
      </w:r>
      <w:r w:rsidR="005508C5">
        <w:rPr>
          <w:rFonts w:eastAsia="標楷體" w:hAnsi="標楷體" w:hint="eastAsia"/>
          <w:color w:val="000000"/>
        </w:rPr>
        <w:t>觀賞</w:t>
      </w:r>
      <w:r w:rsidR="00C30288" w:rsidRPr="007D37C0">
        <w:rPr>
          <w:rFonts w:eastAsia="標楷體" w:hAnsi="標楷體"/>
          <w:color w:val="000000"/>
        </w:rPr>
        <w:t>。</w:t>
      </w:r>
    </w:p>
    <w:p w:rsidR="00BE3D10" w:rsidRDefault="00977E36" w:rsidP="007A7538">
      <w:pPr>
        <w:ind w:firstLineChars="225" w:firstLine="540"/>
        <w:rPr>
          <w:rFonts w:eastAsia="標楷體" w:hAnsi="標楷體"/>
          <w:color w:val="000000"/>
        </w:rPr>
      </w:pPr>
      <w:r w:rsidRPr="007D37C0">
        <w:rPr>
          <w:rFonts w:eastAsia="標楷體" w:hAnsi="標楷體"/>
          <w:color w:val="000000"/>
        </w:rPr>
        <w:t>本課程期待</w:t>
      </w:r>
      <w:r w:rsidR="00711CA1" w:rsidRPr="007D37C0">
        <w:rPr>
          <w:rFonts w:eastAsia="標楷體" w:hAnsi="標楷體"/>
          <w:color w:val="000000"/>
        </w:rPr>
        <w:t>藉由案例中所呈現之問題，指定同學採取立場進行</w:t>
      </w:r>
      <w:r w:rsidRPr="007D37C0">
        <w:rPr>
          <w:rFonts w:eastAsia="標楷體" w:hAnsi="標楷體"/>
          <w:color w:val="000000"/>
        </w:rPr>
        <w:t>討</w:t>
      </w:r>
      <w:r w:rsidR="00711CA1" w:rsidRPr="007D37C0">
        <w:rPr>
          <w:rFonts w:eastAsia="標楷體" w:hAnsi="標楷體"/>
          <w:color w:val="000000"/>
        </w:rPr>
        <w:t>論，同學在其發展論述之過程中，將更能</w:t>
      </w:r>
      <w:r w:rsidR="00BE3D10" w:rsidRPr="007D37C0">
        <w:rPr>
          <w:rFonts w:eastAsia="標楷體" w:hAnsi="標楷體"/>
          <w:color w:val="000000"/>
        </w:rPr>
        <w:t>認識到</w:t>
      </w:r>
      <w:r w:rsidR="00711CA1" w:rsidRPr="007D37C0">
        <w:rPr>
          <w:rFonts w:eastAsia="標楷體" w:hAnsi="標楷體"/>
          <w:color w:val="000000"/>
        </w:rPr>
        <w:t>各種論述之共同點與相異點，以及這些論</w:t>
      </w:r>
      <w:r w:rsidR="00711CA1" w:rsidRPr="007D37C0">
        <w:rPr>
          <w:rFonts w:eastAsia="標楷體" w:hAnsi="標楷體"/>
          <w:color w:val="000000"/>
        </w:rPr>
        <w:lastRenderedPageBreak/>
        <w:t>述預設之背景知識為何</w:t>
      </w:r>
      <w:r w:rsidR="008E0DA0" w:rsidRPr="007D37C0">
        <w:rPr>
          <w:rFonts w:eastAsia="標楷體" w:hAnsi="標楷體"/>
          <w:color w:val="000000"/>
        </w:rPr>
        <w:t>。期待在整個學期的課程後，同學能夠</w:t>
      </w:r>
      <w:r w:rsidR="00375035" w:rsidRPr="007D37C0">
        <w:rPr>
          <w:rFonts w:eastAsia="標楷體" w:hAnsi="標楷體"/>
          <w:color w:val="000000"/>
        </w:rPr>
        <w:t>初具</w:t>
      </w:r>
      <w:r w:rsidR="008E0DA0" w:rsidRPr="007D37C0">
        <w:rPr>
          <w:rFonts w:eastAsia="標楷體" w:hAnsi="標楷體"/>
          <w:color w:val="000000"/>
        </w:rPr>
        <w:t>分析批判</w:t>
      </w:r>
      <w:r w:rsidR="00BE3D10" w:rsidRPr="007D37C0">
        <w:rPr>
          <w:rFonts w:eastAsia="標楷體" w:hAnsi="標楷體"/>
          <w:color w:val="000000"/>
        </w:rPr>
        <w:t>精神醫學與法律相關政策</w:t>
      </w:r>
      <w:r w:rsidR="008E0DA0" w:rsidRPr="007D37C0">
        <w:rPr>
          <w:rFonts w:eastAsia="標楷體" w:hAnsi="標楷體"/>
          <w:color w:val="000000"/>
        </w:rPr>
        <w:t>與制度之能力，對其將來從事</w:t>
      </w:r>
      <w:r w:rsidR="00375035" w:rsidRPr="007D37C0">
        <w:rPr>
          <w:rFonts w:eastAsia="標楷體" w:hAnsi="標楷體"/>
          <w:color w:val="000000"/>
        </w:rPr>
        <w:t>執</w:t>
      </w:r>
      <w:r w:rsidR="008E0DA0" w:rsidRPr="007D37C0">
        <w:rPr>
          <w:rFonts w:eastAsia="標楷體" w:hAnsi="標楷體"/>
          <w:color w:val="000000"/>
        </w:rPr>
        <w:t>法或</w:t>
      </w:r>
      <w:r w:rsidR="00375035" w:rsidRPr="007D37C0">
        <w:rPr>
          <w:rFonts w:eastAsia="標楷體" w:hAnsi="標楷體"/>
          <w:color w:val="000000"/>
        </w:rPr>
        <w:t>立</w:t>
      </w:r>
      <w:r w:rsidR="008E0DA0" w:rsidRPr="007D37C0">
        <w:rPr>
          <w:rFonts w:eastAsia="標楷體" w:hAnsi="標楷體"/>
          <w:color w:val="000000"/>
        </w:rPr>
        <w:t>法之工作時有所助益</w:t>
      </w:r>
      <w:r w:rsidR="00711CA1" w:rsidRPr="007D37C0">
        <w:rPr>
          <w:rFonts w:eastAsia="標楷體" w:hAnsi="標楷體"/>
          <w:color w:val="000000"/>
        </w:rPr>
        <w:t>。</w:t>
      </w:r>
    </w:p>
    <w:p w:rsidR="009A122E" w:rsidRPr="007D37C0" w:rsidRDefault="009A122E" w:rsidP="007A7538">
      <w:pPr>
        <w:ind w:firstLineChars="225" w:firstLine="540"/>
        <w:rPr>
          <w:rFonts w:eastAsia="標楷體"/>
          <w:color w:val="000000"/>
        </w:rPr>
      </w:pPr>
    </w:p>
    <w:p w:rsidR="00BE3D10" w:rsidRPr="007D37C0" w:rsidRDefault="00BE3D10" w:rsidP="007A7538">
      <w:pPr>
        <w:rPr>
          <w:rFonts w:eastAsia="標楷體"/>
          <w:b/>
          <w:color w:val="000000"/>
          <w:sz w:val="28"/>
          <w:szCs w:val="28"/>
        </w:rPr>
      </w:pPr>
      <w:r w:rsidRPr="007D37C0">
        <w:rPr>
          <w:rFonts w:eastAsia="標楷體" w:hAnsi="標楷體"/>
          <w:b/>
          <w:color w:val="000000"/>
          <w:sz w:val="28"/>
          <w:szCs w:val="28"/>
        </w:rPr>
        <w:t>成績評量方式：</w:t>
      </w:r>
    </w:p>
    <w:p w:rsidR="00BE3D10" w:rsidRDefault="008E0DA0" w:rsidP="007A7538">
      <w:pPr>
        <w:ind w:firstLineChars="225" w:firstLine="540"/>
        <w:rPr>
          <w:rFonts w:eastAsia="標楷體"/>
        </w:rPr>
      </w:pPr>
      <w:r w:rsidRPr="007D37C0">
        <w:rPr>
          <w:rFonts w:eastAsia="標楷體" w:hAnsi="標楷體"/>
          <w:color w:val="000000"/>
        </w:rPr>
        <w:t>以出席（</w:t>
      </w:r>
      <w:r w:rsidR="002D132F" w:rsidRPr="007D37C0">
        <w:rPr>
          <w:rFonts w:eastAsia="標楷體"/>
          <w:color w:val="000000"/>
        </w:rPr>
        <w:t>2</w:t>
      </w:r>
      <w:r w:rsidR="0081441D">
        <w:rPr>
          <w:rFonts w:eastAsia="標楷體" w:hint="eastAsia"/>
          <w:color w:val="000000"/>
        </w:rPr>
        <w:t>0</w:t>
      </w:r>
      <w:r w:rsidRPr="007D37C0">
        <w:rPr>
          <w:rFonts w:eastAsia="標楷體" w:hAnsi="標楷體"/>
          <w:color w:val="000000"/>
        </w:rPr>
        <w:t>％）</w:t>
      </w:r>
      <w:r w:rsidRPr="007D37C0">
        <w:rPr>
          <w:rFonts w:eastAsia="標楷體"/>
          <w:color w:val="000000"/>
        </w:rPr>
        <w:t>,</w:t>
      </w:r>
      <w:r w:rsidRPr="007D37C0">
        <w:rPr>
          <w:rFonts w:eastAsia="標楷體" w:hAnsi="標楷體"/>
          <w:color w:val="000000"/>
        </w:rPr>
        <w:t>課堂表現（</w:t>
      </w:r>
      <w:r w:rsidR="002D132F" w:rsidRPr="007D37C0">
        <w:rPr>
          <w:rFonts w:eastAsia="標楷體"/>
          <w:color w:val="000000"/>
        </w:rPr>
        <w:t>4</w:t>
      </w:r>
      <w:r w:rsidR="00523F70">
        <w:rPr>
          <w:rFonts w:eastAsia="標楷體" w:hint="eastAsia"/>
          <w:color w:val="000000"/>
        </w:rPr>
        <w:t>0</w:t>
      </w:r>
      <w:r w:rsidRPr="007D37C0">
        <w:rPr>
          <w:rFonts w:eastAsia="標楷體" w:hAnsi="標楷體"/>
          <w:color w:val="000000"/>
        </w:rPr>
        <w:t>％）</w:t>
      </w:r>
      <w:r w:rsidRPr="007D37C0">
        <w:rPr>
          <w:rFonts w:eastAsia="標楷體"/>
          <w:color w:val="000000"/>
        </w:rPr>
        <w:t>,</w:t>
      </w:r>
      <w:r w:rsidRPr="007D37C0">
        <w:rPr>
          <w:rFonts w:eastAsia="標楷體" w:hAnsi="標楷體"/>
          <w:color w:val="000000"/>
        </w:rPr>
        <w:t>及期末一篇</w:t>
      </w:r>
      <w:r w:rsidR="007212EE" w:rsidRPr="007212EE">
        <w:rPr>
          <w:rFonts w:eastAsia="標楷體" w:hAnsi="標楷體" w:hint="eastAsia"/>
          <w:color w:val="000000"/>
          <w:highlight w:val="yellow"/>
        </w:rPr>
        <w:t>10,000-2</w:t>
      </w:r>
      <w:r w:rsidR="00065B57" w:rsidRPr="007212EE">
        <w:rPr>
          <w:rFonts w:eastAsia="標楷體" w:hAnsi="標楷體" w:hint="eastAsia"/>
          <w:color w:val="000000"/>
          <w:highlight w:val="yellow"/>
        </w:rPr>
        <w:t>0</w:t>
      </w:r>
      <w:r w:rsidR="00FD4CEF" w:rsidRPr="007212EE">
        <w:rPr>
          <w:rFonts w:eastAsia="標楷體"/>
          <w:color w:val="000000"/>
          <w:highlight w:val="yellow"/>
        </w:rPr>
        <w:t>,</w:t>
      </w:r>
      <w:r w:rsidRPr="007212EE">
        <w:rPr>
          <w:rFonts w:eastAsia="標楷體"/>
          <w:color w:val="000000"/>
          <w:highlight w:val="yellow"/>
        </w:rPr>
        <w:t>000</w:t>
      </w:r>
      <w:r w:rsidRPr="007212EE">
        <w:rPr>
          <w:rFonts w:eastAsia="標楷體" w:hAnsi="標楷體"/>
          <w:color w:val="000000"/>
          <w:highlight w:val="yellow"/>
        </w:rPr>
        <w:t>字</w:t>
      </w:r>
      <w:r w:rsidRPr="007D37C0">
        <w:rPr>
          <w:rFonts w:eastAsia="標楷體" w:hAnsi="標楷體"/>
          <w:color w:val="000000"/>
        </w:rPr>
        <w:t>之論文（</w:t>
      </w:r>
      <w:r w:rsidR="0081441D">
        <w:rPr>
          <w:rFonts w:eastAsia="標楷體" w:hAnsi="標楷體" w:hint="eastAsia"/>
          <w:color w:val="000000"/>
        </w:rPr>
        <w:t>40</w:t>
      </w:r>
      <w:r w:rsidRPr="007D37C0">
        <w:rPr>
          <w:rFonts w:eastAsia="標楷體" w:hAnsi="標楷體"/>
          <w:color w:val="000000"/>
        </w:rPr>
        <w:t>％）作為考核標準。</w:t>
      </w:r>
      <w:r w:rsidR="00E4128C" w:rsidRPr="007D37C0">
        <w:rPr>
          <w:rFonts w:eastAsia="標楷體" w:hAnsi="標楷體"/>
          <w:color w:val="000000"/>
        </w:rPr>
        <w:t>同學在</w:t>
      </w:r>
      <w:r w:rsidRPr="007D37C0">
        <w:rPr>
          <w:rFonts w:eastAsia="標楷體" w:hAnsi="標楷體"/>
          <w:color w:val="000000"/>
        </w:rPr>
        <w:t>論文</w:t>
      </w:r>
      <w:r w:rsidR="00E4128C" w:rsidRPr="007D37C0">
        <w:rPr>
          <w:rFonts w:eastAsia="標楷體" w:hAnsi="標楷體"/>
          <w:color w:val="000000"/>
        </w:rPr>
        <w:t>中</w:t>
      </w:r>
      <w:r w:rsidRPr="007D37C0">
        <w:rPr>
          <w:rFonts w:eastAsia="標楷體" w:hAnsi="標楷體"/>
          <w:color w:val="000000"/>
        </w:rPr>
        <w:t>必須展現</w:t>
      </w:r>
      <w:r w:rsidR="00E4128C" w:rsidRPr="007D37C0">
        <w:rPr>
          <w:rFonts w:eastAsia="標楷體" w:hAnsi="標楷體"/>
          <w:color w:val="000000"/>
        </w:rPr>
        <w:t>其</w:t>
      </w:r>
      <w:r w:rsidR="00E4128C" w:rsidRPr="007D37C0">
        <w:rPr>
          <w:rFonts w:eastAsia="標楷體"/>
        </w:rPr>
        <w:t>論述之條理性、創造性與說服力；「完整地」描述他人的想法絕對無法獲得高分；超長論文將遭到扣分。</w:t>
      </w:r>
    </w:p>
    <w:p w:rsidR="009A122E" w:rsidRDefault="000411D9" w:rsidP="007A7538">
      <w:pPr>
        <w:ind w:firstLineChars="225" w:firstLine="540"/>
        <w:rPr>
          <w:rFonts w:eastAsia="標楷體" w:hint="eastAsia"/>
        </w:rPr>
      </w:pPr>
      <w:r w:rsidRPr="000411D9">
        <w:rPr>
          <w:rFonts w:eastAsia="標楷體" w:hint="eastAsia"/>
          <w:highlight w:val="yellow"/>
        </w:rPr>
        <w:t>沒有繳交期末報告者，一定不及格。</w:t>
      </w:r>
    </w:p>
    <w:p w:rsidR="009A122E" w:rsidRDefault="009A122E" w:rsidP="007A7538">
      <w:pPr>
        <w:ind w:firstLineChars="225" w:firstLine="540"/>
        <w:rPr>
          <w:rFonts w:eastAsia="標楷體"/>
        </w:rPr>
      </w:pPr>
    </w:p>
    <w:p w:rsidR="00E4128C" w:rsidRPr="007D37C0" w:rsidRDefault="00E4128C" w:rsidP="007A7538">
      <w:pPr>
        <w:rPr>
          <w:rFonts w:eastAsia="標楷體"/>
          <w:b/>
          <w:color w:val="000000"/>
          <w:sz w:val="28"/>
          <w:szCs w:val="28"/>
        </w:rPr>
      </w:pPr>
      <w:r w:rsidRPr="007D37C0">
        <w:rPr>
          <w:rFonts w:eastAsia="標楷體" w:hAnsi="標楷體"/>
          <w:b/>
          <w:color w:val="000000"/>
          <w:sz w:val="28"/>
          <w:szCs w:val="28"/>
        </w:rPr>
        <w:t>教學進度：</w:t>
      </w:r>
    </w:p>
    <w:p w:rsidR="006C10EE" w:rsidRPr="007D37C0" w:rsidRDefault="006C10EE" w:rsidP="007A7538">
      <w:pPr>
        <w:rPr>
          <w:rFonts w:eastAsia="標楷體"/>
          <w:b/>
          <w:color w:val="000000"/>
        </w:rPr>
      </w:pPr>
      <w:r w:rsidRPr="007D37C0">
        <w:rPr>
          <w:rFonts w:eastAsia="標楷體" w:hAnsi="標楷體"/>
          <w:b/>
          <w:color w:val="000000"/>
        </w:rPr>
        <w:t>第一</w:t>
      </w:r>
      <w:proofErr w:type="gramStart"/>
      <w:r w:rsidRPr="007D37C0">
        <w:rPr>
          <w:rFonts w:eastAsia="標楷體" w:hAnsi="標楷體"/>
          <w:b/>
          <w:color w:val="000000"/>
        </w:rPr>
        <w:t>週</w:t>
      </w:r>
      <w:proofErr w:type="gramEnd"/>
      <w:r w:rsidRPr="007D37C0">
        <w:rPr>
          <w:rFonts w:eastAsia="標楷體" w:hAnsi="標楷體"/>
          <w:b/>
          <w:color w:val="000000"/>
        </w:rPr>
        <w:t>（</w:t>
      </w:r>
      <w:r w:rsidR="00FD5989">
        <w:rPr>
          <w:rFonts w:eastAsia="標楷體" w:hAnsi="標楷體" w:hint="eastAsia"/>
          <w:b/>
          <w:color w:val="000000"/>
        </w:rPr>
        <w:t>9</w:t>
      </w:r>
      <w:r w:rsidRPr="007D37C0">
        <w:rPr>
          <w:rFonts w:eastAsia="標楷體"/>
          <w:b/>
          <w:color w:val="000000"/>
        </w:rPr>
        <w:t>/</w:t>
      </w:r>
      <w:r w:rsidR="00FD5989">
        <w:rPr>
          <w:rFonts w:eastAsia="標楷體" w:hint="eastAsia"/>
          <w:b/>
          <w:color w:val="000000"/>
        </w:rPr>
        <w:t>1</w:t>
      </w:r>
      <w:r w:rsidR="00970201">
        <w:rPr>
          <w:rFonts w:eastAsia="標楷體" w:hint="eastAsia"/>
          <w:b/>
          <w:color w:val="000000"/>
        </w:rPr>
        <w:t>4</w:t>
      </w:r>
      <w:r w:rsidRPr="007D37C0">
        <w:rPr>
          <w:rFonts w:eastAsia="標楷體" w:hAnsi="標楷體"/>
          <w:b/>
          <w:color w:val="000000"/>
        </w:rPr>
        <w:t>）：</w:t>
      </w:r>
      <w:r w:rsidR="00E72B2D">
        <w:rPr>
          <w:rFonts w:eastAsia="標楷體" w:hAnsi="標楷體" w:hint="eastAsia"/>
          <w:b/>
          <w:color w:val="000000"/>
        </w:rPr>
        <w:t>2</w:t>
      </w:r>
      <w:r w:rsidR="00E72B2D">
        <w:rPr>
          <w:rFonts w:eastAsia="標楷體" w:hAnsi="標楷體" w:hint="eastAsia"/>
          <w:b/>
          <w:color w:val="000000"/>
        </w:rPr>
        <w:t>小時</w:t>
      </w:r>
    </w:p>
    <w:p w:rsidR="006C10EE" w:rsidRPr="007D37C0" w:rsidRDefault="00D428A2" w:rsidP="007A7538">
      <w:pPr>
        <w:rPr>
          <w:rFonts w:eastAsia="標楷體"/>
          <w:color w:val="000000"/>
        </w:rPr>
      </w:pPr>
      <w:r w:rsidRPr="007D37C0">
        <w:rPr>
          <w:rFonts w:eastAsia="標楷體" w:hAnsi="標楷體"/>
          <w:color w:val="000000"/>
        </w:rPr>
        <w:t>課程介紹</w:t>
      </w:r>
      <w:r w:rsidR="007639ED">
        <w:rPr>
          <w:rFonts w:eastAsia="標楷體" w:hAnsi="標楷體" w:hint="eastAsia"/>
          <w:color w:val="000000"/>
        </w:rPr>
        <w:t xml:space="preserve"> + </w:t>
      </w:r>
      <w:r w:rsidR="007639ED">
        <w:rPr>
          <w:rFonts w:eastAsia="標楷體" w:hAnsi="標楷體" w:hint="eastAsia"/>
          <w:color w:val="000000"/>
        </w:rPr>
        <w:t>精神醫學之簡介</w:t>
      </w:r>
      <w:r w:rsidR="007639ED">
        <w:rPr>
          <w:rFonts w:eastAsia="標楷體" w:hAnsi="標楷體" w:hint="eastAsia"/>
          <w:color w:val="000000"/>
        </w:rPr>
        <w:t>I</w:t>
      </w:r>
    </w:p>
    <w:p w:rsidR="006C10EE" w:rsidRPr="007D37C0" w:rsidRDefault="006C10EE" w:rsidP="007A7538">
      <w:pPr>
        <w:rPr>
          <w:rFonts w:eastAsia="標楷體"/>
          <w:color w:val="000000"/>
          <w:u w:val="single"/>
        </w:rPr>
      </w:pPr>
    </w:p>
    <w:p w:rsidR="00E4128C" w:rsidRPr="007D37C0" w:rsidRDefault="00E4128C" w:rsidP="007A7538">
      <w:pPr>
        <w:rPr>
          <w:rFonts w:eastAsia="標楷體"/>
          <w:b/>
          <w:color w:val="000000"/>
        </w:rPr>
      </w:pPr>
      <w:r w:rsidRPr="007D37C0">
        <w:rPr>
          <w:rFonts w:eastAsia="標楷體" w:hAnsi="標楷體"/>
          <w:b/>
          <w:color w:val="000000"/>
        </w:rPr>
        <w:t>第</w:t>
      </w:r>
      <w:r w:rsidR="006C10EE" w:rsidRPr="007D37C0">
        <w:rPr>
          <w:rFonts w:eastAsia="標楷體" w:hAnsi="標楷體"/>
          <w:b/>
          <w:color w:val="000000"/>
        </w:rPr>
        <w:t>二</w:t>
      </w:r>
      <w:proofErr w:type="gramStart"/>
      <w:r w:rsidRPr="007D37C0">
        <w:rPr>
          <w:rFonts w:eastAsia="標楷體" w:hAnsi="標楷體"/>
          <w:b/>
          <w:color w:val="000000"/>
        </w:rPr>
        <w:t>週</w:t>
      </w:r>
      <w:proofErr w:type="gramEnd"/>
      <w:r w:rsidRPr="007D37C0">
        <w:rPr>
          <w:rFonts w:eastAsia="標楷體" w:hAnsi="標楷體"/>
          <w:b/>
          <w:color w:val="000000"/>
        </w:rPr>
        <w:t>（</w:t>
      </w:r>
      <w:r w:rsidR="00FD5989">
        <w:rPr>
          <w:rFonts w:eastAsia="標楷體" w:hAnsi="標楷體" w:hint="eastAsia"/>
          <w:b/>
          <w:color w:val="000000"/>
        </w:rPr>
        <w:t>9</w:t>
      </w:r>
      <w:r w:rsidRPr="007D37C0">
        <w:rPr>
          <w:rFonts w:eastAsia="標楷體"/>
          <w:b/>
          <w:color w:val="000000"/>
        </w:rPr>
        <w:t>/</w:t>
      </w:r>
      <w:r w:rsidR="00FD5989">
        <w:rPr>
          <w:rFonts w:eastAsia="標楷體" w:hint="eastAsia"/>
          <w:b/>
          <w:color w:val="000000"/>
        </w:rPr>
        <w:t>21</w:t>
      </w:r>
      <w:r w:rsidRPr="007D37C0">
        <w:rPr>
          <w:rFonts w:eastAsia="標楷體" w:hAnsi="標楷體"/>
          <w:b/>
          <w:color w:val="000000"/>
        </w:rPr>
        <w:t>）：</w:t>
      </w:r>
      <w:r w:rsidR="00E72B2D">
        <w:rPr>
          <w:rFonts w:eastAsia="標楷體" w:hAnsi="標楷體" w:hint="eastAsia"/>
          <w:b/>
          <w:color w:val="000000"/>
        </w:rPr>
        <w:t xml:space="preserve">3 </w:t>
      </w:r>
      <w:r w:rsidR="00E72B2D">
        <w:rPr>
          <w:rFonts w:eastAsia="標楷體" w:hAnsi="標楷體" w:hint="eastAsia"/>
          <w:b/>
          <w:color w:val="000000"/>
        </w:rPr>
        <w:t>小時</w:t>
      </w:r>
    </w:p>
    <w:p w:rsidR="00E4128C" w:rsidRPr="007D37C0" w:rsidRDefault="00E4128C" w:rsidP="007A7538">
      <w:pPr>
        <w:rPr>
          <w:rFonts w:eastAsia="標楷體"/>
          <w:color w:val="000000"/>
        </w:rPr>
      </w:pPr>
      <w:r w:rsidRPr="007D37C0">
        <w:rPr>
          <w:rFonts w:eastAsia="標楷體" w:hAnsi="標楷體"/>
          <w:color w:val="000000"/>
        </w:rPr>
        <w:t>精神醫學簡介</w:t>
      </w:r>
      <w:r w:rsidR="00EB51A4">
        <w:rPr>
          <w:rFonts w:eastAsia="標楷體" w:hAnsi="標楷體" w:hint="eastAsia"/>
          <w:color w:val="000000"/>
        </w:rPr>
        <w:t xml:space="preserve"> I</w:t>
      </w:r>
      <w:r w:rsidR="007639ED">
        <w:rPr>
          <w:rFonts w:eastAsia="標楷體" w:hAnsi="標楷體" w:hint="eastAsia"/>
          <w:color w:val="000000"/>
        </w:rPr>
        <w:t>I</w:t>
      </w:r>
    </w:p>
    <w:p w:rsidR="00E4128C" w:rsidRPr="007D37C0" w:rsidRDefault="006C10EE" w:rsidP="007A7538">
      <w:pPr>
        <w:rPr>
          <w:rFonts w:eastAsia="標楷體"/>
          <w:b/>
          <w:i/>
          <w:color w:val="000000"/>
        </w:rPr>
      </w:pPr>
      <w:r w:rsidRPr="007D37C0">
        <w:rPr>
          <w:rFonts w:eastAsia="標楷體" w:hAnsi="標楷體"/>
          <w:i/>
          <w:color w:val="000000"/>
        </w:rPr>
        <w:t>參考讀物：</w:t>
      </w:r>
    </w:p>
    <w:p w:rsidR="00A34B24" w:rsidRPr="007D37C0" w:rsidRDefault="00A10A9B" w:rsidP="002D132F">
      <w:pPr>
        <w:numPr>
          <w:ilvl w:val="0"/>
          <w:numId w:val="15"/>
        </w:numPr>
        <w:rPr>
          <w:rFonts w:eastAsia="標楷體"/>
          <w:color w:val="000000"/>
        </w:rPr>
      </w:pPr>
      <w:r w:rsidRPr="007D37C0">
        <w:rPr>
          <w:rFonts w:eastAsia="標楷體" w:hAnsi="標楷體"/>
          <w:color w:val="000000"/>
        </w:rPr>
        <w:t>李明濱主編</w:t>
      </w:r>
      <w:r w:rsidRPr="007D37C0">
        <w:rPr>
          <w:rFonts w:eastAsia="標楷體"/>
          <w:color w:val="000000"/>
        </w:rPr>
        <w:t>,</w:t>
      </w:r>
      <w:r w:rsidR="00A34B24" w:rsidRPr="007D37C0">
        <w:rPr>
          <w:rFonts w:eastAsia="標楷體" w:hAnsi="標楷體"/>
          <w:color w:val="000000"/>
        </w:rPr>
        <w:t>實用精神醫學</w:t>
      </w:r>
      <w:r w:rsidRPr="007D37C0">
        <w:rPr>
          <w:rFonts w:eastAsia="標楷體" w:hAnsi="標楷體"/>
          <w:color w:val="000000"/>
        </w:rPr>
        <w:t>，台北市：台大醫學院，</w:t>
      </w:r>
      <w:r w:rsidR="005770FD">
        <w:rPr>
          <w:rFonts w:eastAsia="標楷體" w:hAnsi="標楷體" w:hint="eastAsia"/>
          <w:color w:val="000000"/>
        </w:rPr>
        <w:t>2011</w:t>
      </w:r>
      <w:r w:rsidRPr="007D37C0">
        <w:rPr>
          <w:rFonts w:eastAsia="標楷體"/>
          <w:color w:val="000000"/>
        </w:rPr>
        <w:t>.</w:t>
      </w:r>
      <w:r w:rsidR="004C592F">
        <w:rPr>
          <w:rFonts w:eastAsia="標楷體" w:hint="eastAsia"/>
          <w:color w:val="000000"/>
        </w:rPr>
        <w:t xml:space="preserve"> </w:t>
      </w:r>
      <w:r w:rsidR="004C592F">
        <w:rPr>
          <w:rFonts w:eastAsia="標楷體" w:hint="eastAsia"/>
          <w:color w:val="000000"/>
        </w:rPr>
        <w:t>（選讀）</w:t>
      </w:r>
    </w:p>
    <w:p w:rsidR="00A10A9B" w:rsidRPr="007D37C0" w:rsidRDefault="00A10A9B" w:rsidP="002D132F">
      <w:pPr>
        <w:numPr>
          <w:ilvl w:val="0"/>
          <w:numId w:val="15"/>
        </w:numPr>
        <w:rPr>
          <w:rFonts w:eastAsia="標楷體"/>
          <w:color w:val="000000"/>
        </w:rPr>
      </w:pPr>
      <w:r w:rsidRPr="007D37C0">
        <w:rPr>
          <w:rFonts w:eastAsia="標楷體" w:hAnsi="標楷體"/>
          <w:color w:val="000000"/>
        </w:rPr>
        <w:t>曾文星、徐靜著，新編精神醫學，台北市：水牛出版社，</w:t>
      </w:r>
      <w:r w:rsidRPr="007D37C0">
        <w:rPr>
          <w:rFonts w:eastAsia="標楷體"/>
          <w:color w:val="000000"/>
        </w:rPr>
        <w:t>2003.</w:t>
      </w:r>
      <w:r w:rsidR="004C592F">
        <w:rPr>
          <w:rFonts w:eastAsia="標楷體" w:hint="eastAsia"/>
          <w:color w:val="000000"/>
        </w:rPr>
        <w:t xml:space="preserve"> </w:t>
      </w:r>
      <w:r w:rsidR="004C592F">
        <w:rPr>
          <w:rFonts w:eastAsia="標楷體" w:hint="eastAsia"/>
          <w:color w:val="000000"/>
        </w:rPr>
        <w:t>（選讀）</w:t>
      </w:r>
    </w:p>
    <w:p w:rsidR="00A556DE" w:rsidRDefault="00A556DE" w:rsidP="007A7538">
      <w:pPr>
        <w:rPr>
          <w:rFonts w:eastAsia="標楷體"/>
          <w:color w:val="000000"/>
        </w:rPr>
      </w:pPr>
    </w:p>
    <w:p w:rsidR="00A556DE" w:rsidRPr="007D37C0" w:rsidRDefault="00A556DE" w:rsidP="007A7538">
      <w:pPr>
        <w:rPr>
          <w:rFonts w:eastAsia="標楷體"/>
          <w:b/>
          <w:color w:val="000000"/>
        </w:rPr>
      </w:pPr>
      <w:r w:rsidRPr="00F91727">
        <w:rPr>
          <w:rFonts w:eastAsia="標楷體" w:hAnsi="標楷體"/>
          <w:b/>
          <w:color w:val="000000"/>
          <w:highlight w:val="yellow"/>
        </w:rPr>
        <w:t>第三</w:t>
      </w:r>
      <w:proofErr w:type="gramStart"/>
      <w:r w:rsidRPr="00F91727">
        <w:rPr>
          <w:rFonts w:eastAsia="標楷體" w:hAnsi="標楷體"/>
          <w:b/>
          <w:color w:val="000000"/>
          <w:highlight w:val="yellow"/>
        </w:rPr>
        <w:t>週</w:t>
      </w:r>
      <w:proofErr w:type="gramEnd"/>
      <w:r w:rsidRPr="00F91727">
        <w:rPr>
          <w:rFonts w:eastAsia="標楷體" w:hAnsi="標楷體"/>
          <w:b/>
          <w:color w:val="000000"/>
          <w:highlight w:val="yellow"/>
        </w:rPr>
        <w:t>（</w:t>
      </w:r>
      <w:r w:rsidR="00FD5989">
        <w:rPr>
          <w:rFonts w:eastAsia="標楷體" w:hAnsi="標楷體" w:hint="eastAsia"/>
          <w:b/>
          <w:color w:val="000000"/>
          <w:highlight w:val="yellow"/>
        </w:rPr>
        <w:t>9</w:t>
      </w:r>
      <w:r w:rsidRPr="00F91727">
        <w:rPr>
          <w:rFonts w:eastAsia="標楷體"/>
          <w:b/>
          <w:color w:val="000000"/>
          <w:highlight w:val="yellow"/>
        </w:rPr>
        <w:t>/</w:t>
      </w:r>
      <w:r w:rsidR="00FD5989">
        <w:rPr>
          <w:rFonts w:eastAsia="標楷體" w:hint="eastAsia"/>
          <w:b/>
          <w:color w:val="000000"/>
          <w:highlight w:val="yellow"/>
        </w:rPr>
        <w:t>28</w:t>
      </w:r>
      <w:r w:rsidRPr="00F91727">
        <w:rPr>
          <w:rFonts w:eastAsia="標楷體" w:hAnsi="標楷體"/>
          <w:b/>
          <w:color w:val="000000"/>
          <w:highlight w:val="yellow"/>
        </w:rPr>
        <w:t>）：</w:t>
      </w:r>
      <w:r w:rsidR="00F91727" w:rsidRPr="00F91727">
        <w:rPr>
          <w:rFonts w:eastAsia="標楷體" w:hAnsi="標楷體" w:hint="eastAsia"/>
          <w:b/>
          <w:color w:val="000000"/>
          <w:highlight w:val="yellow"/>
        </w:rPr>
        <w:t>準備</w:t>
      </w:r>
    </w:p>
    <w:p w:rsidR="003A52CE" w:rsidRPr="007D37C0" w:rsidRDefault="003A52CE" w:rsidP="00F91727">
      <w:pPr>
        <w:rPr>
          <w:rFonts w:eastAsia="標楷體"/>
          <w:color w:val="000000"/>
        </w:rPr>
      </w:pPr>
    </w:p>
    <w:p w:rsidR="000B34FF" w:rsidRPr="00BB0654" w:rsidRDefault="00B45D5C" w:rsidP="000B34FF">
      <w:pPr>
        <w:rPr>
          <w:rFonts w:eastAsia="標楷體" w:hAnsi="標楷體"/>
          <w:color w:val="000000"/>
        </w:rPr>
      </w:pPr>
      <w:r w:rsidRPr="00F91727">
        <w:rPr>
          <w:rFonts w:eastAsia="標楷體" w:hAnsi="標楷體"/>
          <w:b/>
          <w:color w:val="000000"/>
        </w:rPr>
        <w:t>第四</w:t>
      </w:r>
      <w:proofErr w:type="gramStart"/>
      <w:r w:rsidRPr="00F91727">
        <w:rPr>
          <w:rFonts w:eastAsia="標楷體" w:hAnsi="標楷體"/>
          <w:b/>
          <w:color w:val="000000"/>
        </w:rPr>
        <w:t>週</w:t>
      </w:r>
      <w:proofErr w:type="gramEnd"/>
      <w:r w:rsidRPr="00F91727">
        <w:rPr>
          <w:rFonts w:eastAsia="標楷體" w:hAnsi="標楷體"/>
          <w:b/>
          <w:color w:val="000000"/>
        </w:rPr>
        <w:t>（</w:t>
      </w:r>
      <w:r w:rsidR="00FD5989">
        <w:rPr>
          <w:rFonts w:eastAsia="標楷體" w:hAnsi="標楷體" w:hint="eastAsia"/>
          <w:b/>
          <w:color w:val="000000"/>
        </w:rPr>
        <w:t>10</w:t>
      </w:r>
      <w:r w:rsidRPr="00F91727">
        <w:rPr>
          <w:rFonts w:eastAsia="標楷體"/>
          <w:b/>
          <w:color w:val="000000"/>
        </w:rPr>
        <w:t>/</w:t>
      </w:r>
      <w:r w:rsidR="00FD5989">
        <w:rPr>
          <w:rFonts w:eastAsia="標楷體" w:hint="eastAsia"/>
          <w:b/>
          <w:color w:val="000000"/>
        </w:rPr>
        <w:t>5</w:t>
      </w:r>
      <w:r w:rsidRPr="00F91727">
        <w:rPr>
          <w:rFonts w:eastAsia="標楷體" w:hAnsi="標楷體"/>
          <w:b/>
          <w:color w:val="000000"/>
        </w:rPr>
        <w:t>）：</w:t>
      </w:r>
      <w:r w:rsidR="00F91727">
        <w:rPr>
          <w:rFonts w:eastAsia="標楷體" w:hAnsi="標楷體" w:hint="eastAsia"/>
          <w:b/>
          <w:color w:val="000000"/>
        </w:rPr>
        <w:t xml:space="preserve">3 </w:t>
      </w:r>
      <w:r w:rsidR="00F91727">
        <w:rPr>
          <w:rFonts w:eastAsia="標楷體" w:hAnsi="標楷體" w:hint="eastAsia"/>
          <w:b/>
          <w:color w:val="000000"/>
        </w:rPr>
        <w:t>小時</w:t>
      </w:r>
      <w:r w:rsidR="000B34FF" w:rsidRPr="00BB0654">
        <w:rPr>
          <w:rFonts w:eastAsia="標楷體" w:hAnsi="標楷體"/>
          <w:color w:val="000000"/>
        </w:rPr>
        <w:t xml:space="preserve"> </w:t>
      </w:r>
    </w:p>
    <w:p w:rsidR="00F91727" w:rsidRPr="007D37C0" w:rsidRDefault="00F91727" w:rsidP="00F91727">
      <w:pPr>
        <w:rPr>
          <w:rFonts w:eastAsia="標楷體"/>
          <w:color w:val="000000"/>
        </w:rPr>
      </w:pPr>
      <w:r w:rsidRPr="007D37C0">
        <w:rPr>
          <w:rFonts w:eastAsia="標楷體" w:hAnsi="標楷體"/>
          <w:color w:val="000000"/>
        </w:rPr>
        <w:t>精神醫學與法律簡介</w:t>
      </w:r>
      <w:r w:rsidRPr="007D37C0">
        <w:rPr>
          <w:rFonts w:eastAsia="標楷體"/>
          <w:color w:val="000000"/>
        </w:rPr>
        <w:t xml:space="preserve"> </w:t>
      </w:r>
    </w:p>
    <w:p w:rsidR="00F91727" w:rsidRPr="007D37C0" w:rsidRDefault="00F91727" w:rsidP="00F91727">
      <w:pPr>
        <w:rPr>
          <w:rFonts w:eastAsia="標楷體"/>
          <w:i/>
          <w:color w:val="000000"/>
        </w:rPr>
      </w:pPr>
      <w:r w:rsidRPr="007D37C0">
        <w:rPr>
          <w:rFonts w:eastAsia="標楷體" w:hAnsi="標楷體"/>
          <w:i/>
          <w:color w:val="000000"/>
        </w:rPr>
        <w:t>參考讀物：</w:t>
      </w:r>
    </w:p>
    <w:p w:rsidR="00925D48" w:rsidRPr="00925D48" w:rsidRDefault="00925D48" w:rsidP="00F91727">
      <w:pPr>
        <w:numPr>
          <w:ilvl w:val="0"/>
          <w:numId w:val="14"/>
        </w:numPr>
        <w:rPr>
          <w:rFonts w:eastAsia="標楷體" w:hAnsi="標楷體"/>
          <w:color w:val="000000"/>
        </w:rPr>
      </w:pPr>
      <w:r w:rsidRPr="006F28E4">
        <w:rPr>
          <w:rFonts w:eastAsia="標楷體" w:hint="eastAsia"/>
          <w:b/>
          <w:u w:val="single"/>
        </w:rPr>
        <w:t>吳建昌</w:t>
      </w:r>
      <w:r>
        <w:rPr>
          <w:rFonts w:eastAsia="標楷體" w:hint="eastAsia"/>
        </w:rPr>
        <w:t>及林憲</w:t>
      </w:r>
      <w:r w:rsidRPr="006F28E4">
        <w:rPr>
          <w:rFonts w:eastAsia="標楷體" w:hint="eastAsia"/>
        </w:rPr>
        <w:t>，</w:t>
      </w:r>
      <w:r>
        <w:rPr>
          <w:rFonts w:eastAsia="標楷體" w:hint="eastAsia"/>
        </w:rPr>
        <w:t>司法精神醫學</w:t>
      </w:r>
      <w:r w:rsidRPr="006F28E4">
        <w:rPr>
          <w:rFonts w:eastAsia="標楷體" w:hint="eastAsia"/>
        </w:rPr>
        <w:t>，</w:t>
      </w:r>
      <w:r w:rsidRPr="006F28E4">
        <w:rPr>
          <w:rFonts w:eastAsia="標楷體" w:hint="eastAsia"/>
        </w:rPr>
        <w:t xml:space="preserve">In </w:t>
      </w:r>
      <w:r>
        <w:rPr>
          <w:rFonts w:eastAsia="標楷體" w:hint="eastAsia"/>
        </w:rPr>
        <w:t>李明濱</w:t>
      </w:r>
      <w:r w:rsidRPr="006F28E4">
        <w:rPr>
          <w:rFonts w:eastAsia="標楷體" w:hint="eastAsia"/>
        </w:rPr>
        <w:t>主編，</w:t>
      </w:r>
      <w:r>
        <w:rPr>
          <w:rFonts w:eastAsia="標楷體" w:hint="eastAsia"/>
        </w:rPr>
        <w:t>實用精神醫學（第三版）</w:t>
      </w:r>
      <w:r w:rsidRPr="006F28E4">
        <w:rPr>
          <w:rFonts w:eastAsia="標楷體" w:hint="eastAsia"/>
        </w:rPr>
        <w:t>，台北市：</w:t>
      </w:r>
      <w:r>
        <w:rPr>
          <w:rFonts w:eastAsia="標楷體" w:hint="eastAsia"/>
        </w:rPr>
        <w:t>國立台灣大學醫學院</w:t>
      </w:r>
      <w:r w:rsidRPr="006F28E4">
        <w:rPr>
          <w:rFonts w:eastAsia="標楷體" w:hint="eastAsia"/>
        </w:rPr>
        <w:t>，</w:t>
      </w:r>
      <w:r w:rsidRPr="006F28E4">
        <w:rPr>
          <w:rFonts w:eastAsia="標楷體" w:hint="eastAsia"/>
        </w:rPr>
        <w:t>201</w:t>
      </w:r>
      <w:r>
        <w:rPr>
          <w:rFonts w:eastAsia="標楷體" w:hint="eastAsia"/>
        </w:rPr>
        <w:t>1</w:t>
      </w:r>
      <w:r w:rsidRPr="006F28E4">
        <w:rPr>
          <w:rFonts w:eastAsia="標楷體" w:hint="eastAsia"/>
        </w:rPr>
        <w:t>，頁</w:t>
      </w:r>
      <w:r>
        <w:rPr>
          <w:rFonts w:eastAsia="標楷體" w:hint="eastAsia"/>
        </w:rPr>
        <w:t>467-482</w:t>
      </w:r>
      <w:r w:rsidRPr="006F28E4">
        <w:rPr>
          <w:rFonts w:eastAsia="標楷體" w:hint="eastAsia"/>
        </w:rPr>
        <w:t>.</w:t>
      </w:r>
      <w:r>
        <w:rPr>
          <w:rFonts w:eastAsia="標楷體" w:hint="eastAsia"/>
        </w:rPr>
        <w:t xml:space="preserve"> </w:t>
      </w:r>
      <w:r>
        <w:rPr>
          <w:rFonts w:eastAsia="標楷體" w:hint="eastAsia"/>
        </w:rPr>
        <w:t>（必讀）</w:t>
      </w:r>
    </w:p>
    <w:p w:rsidR="00925D48" w:rsidRPr="00925D48" w:rsidRDefault="00925D48" w:rsidP="00F91727">
      <w:pPr>
        <w:numPr>
          <w:ilvl w:val="0"/>
          <w:numId w:val="14"/>
        </w:numPr>
        <w:rPr>
          <w:rFonts w:eastAsia="標楷體" w:hAnsi="標楷體"/>
          <w:color w:val="000000"/>
        </w:rPr>
      </w:pPr>
      <w:r>
        <w:rPr>
          <w:rFonts w:eastAsia="標楷體" w:hint="eastAsia"/>
        </w:rPr>
        <w:t>李宇宙及</w:t>
      </w:r>
      <w:r w:rsidRPr="006F28E4">
        <w:rPr>
          <w:rFonts w:eastAsia="標楷體" w:hint="eastAsia"/>
          <w:b/>
          <w:u w:val="single"/>
        </w:rPr>
        <w:t>吳建昌</w:t>
      </w:r>
      <w:r w:rsidRPr="006F28E4">
        <w:rPr>
          <w:rFonts w:eastAsia="標楷體" w:hint="eastAsia"/>
        </w:rPr>
        <w:t>，</w:t>
      </w:r>
      <w:r>
        <w:rPr>
          <w:rFonts w:eastAsia="標楷體" w:hint="eastAsia"/>
        </w:rPr>
        <w:t>精神醫學倫理</w:t>
      </w:r>
      <w:r w:rsidRPr="006F28E4">
        <w:rPr>
          <w:rFonts w:eastAsia="標楷體" w:hint="eastAsia"/>
        </w:rPr>
        <w:t>，</w:t>
      </w:r>
      <w:r w:rsidRPr="006F28E4">
        <w:rPr>
          <w:rFonts w:eastAsia="標楷體" w:hint="eastAsia"/>
        </w:rPr>
        <w:t xml:space="preserve">In </w:t>
      </w:r>
      <w:r>
        <w:rPr>
          <w:rFonts w:eastAsia="標楷體" w:hint="eastAsia"/>
        </w:rPr>
        <w:t>李明濱</w:t>
      </w:r>
      <w:r w:rsidRPr="006F28E4">
        <w:rPr>
          <w:rFonts w:eastAsia="標楷體" w:hint="eastAsia"/>
        </w:rPr>
        <w:t>主編，</w:t>
      </w:r>
      <w:r>
        <w:rPr>
          <w:rFonts w:eastAsia="標楷體" w:hint="eastAsia"/>
        </w:rPr>
        <w:t>實用精神醫學（第三版）</w:t>
      </w:r>
      <w:r w:rsidRPr="006F28E4">
        <w:rPr>
          <w:rFonts w:eastAsia="標楷體" w:hint="eastAsia"/>
        </w:rPr>
        <w:t>，台北市：</w:t>
      </w:r>
      <w:r>
        <w:rPr>
          <w:rFonts w:eastAsia="標楷體" w:hint="eastAsia"/>
        </w:rPr>
        <w:t>國立台灣大學醫學院</w:t>
      </w:r>
      <w:r w:rsidRPr="006F28E4">
        <w:rPr>
          <w:rFonts w:eastAsia="標楷體" w:hint="eastAsia"/>
        </w:rPr>
        <w:t>，</w:t>
      </w:r>
      <w:r w:rsidRPr="006F28E4">
        <w:rPr>
          <w:rFonts w:eastAsia="標楷體" w:hint="eastAsia"/>
        </w:rPr>
        <w:t>201</w:t>
      </w:r>
      <w:r>
        <w:rPr>
          <w:rFonts w:eastAsia="標楷體" w:hint="eastAsia"/>
        </w:rPr>
        <w:t>1</w:t>
      </w:r>
      <w:r w:rsidRPr="006F28E4">
        <w:rPr>
          <w:rFonts w:eastAsia="標楷體" w:hint="eastAsia"/>
        </w:rPr>
        <w:t>，頁</w:t>
      </w:r>
      <w:r>
        <w:rPr>
          <w:rFonts w:eastAsia="標楷體" w:hint="eastAsia"/>
        </w:rPr>
        <w:t>483-500</w:t>
      </w:r>
      <w:r w:rsidRPr="006F28E4">
        <w:rPr>
          <w:rFonts w:eastAsia="標楷體" w:hint="eastAsia"/>
        </w:rPr>
        <w:t>.</w:t>
      </w:r>
      <w:r>
        <w:rPr>
          <w:rFonts w:eastAsia="標楷體" w:hint="eastAsia"/>
        </w:rPr>
        <w:t xml:space="preserve"> </w:t>
      </w:r>
      <w:r>
        <w:rPr>
          <w:rFonts w:eastAsia="標楷體" w:hint="eastAsia"/>
        </w:rPr>
        <w:t>（必讀）</w:t>
      </w:r>
    </w:p>
    <w:p w:rsidR="00F91727" w:rsidRPr="00F91727" w:rsidRDefault="00F91727" w:rsidP="00F91727">
      <w:pPr>
        <w:numPr>
          <w:ilvl w:val="0"/>
          <w:numId w:val="14"/>
        </w:numPr>
        <w:rPr>
          <w:rFonts w:eastAsia="標楷體" w:hAnsi="標楷體"/>
          <w:color w:val="000000"/>
        </w:rPr>
      </w:pPr>
      <w:r w:rsidRPr="00F91727">
        <w:rPr>
          <w:rFonts w:eastAsia="標楷體"/>
          <w:color w:val="000000"/>
        </w:rPr>
        <w:t xml:space="preserve">Alan A. Stone, Psychiatry and the Law, in Armand M. </w:t>
      </w:r>
      <w:proofErr w:type="spellStart"/>
      <w:r w:rsidRPr="00F91727">
        <w:rPr>
          <w:rFonts w:eastAsia="標楷體"/>
          <w:color w:val="000000"/>
        </w:rPr>
        <w:t>Nicoli</w:t>
      </w:r>
      <w:proofErr w:type="spellEnd"/>
      <w:r w:rsidRPr="00F91727">
        <w:rPr>
          <w:rFonts w:eastAsia="標楷體"/>
          <w:color w:val="000000"/>
        </w:rPr>
        <w:t xml:space="preserve">, Jr. ed., </w:t>
      </w:r>
      <w:r w:rsidRPr="00F91727">
        <w:rPr>
          <w:rFonts w:eastAsia="標楷體"/>
          <w:i/>
          <w:color w:val="000000"/>
        </w:rPr>
        <w:t>The Harvard Guide to Psychiatry</w:t>
      </w:r>
      <w:r w:rsidRPr="00F91727">
        <w:rPr>
          <w:rFonts w:eastAsia="標楷體"/>
          <w:color w:val="000000"/>
        </w:rPr>
        <w:t>, 3</w:t>
      </w:r>
      <w:r w:rsidRPr="00F91727">
        <w:rPr>
          <w:rFonts w:eastAsia="標楷體"/>
          <w:color w:val="000000"/>
          <w:vertAlign w:val="superscript"/>
        </w:rPr>
        <w:t>rd</w:t>
      </w:r>
      <w:r w:rsidRPr="00F91727">
        <w:rPr>
          <w:rFonts w:eastAsia="標楷體"/>
          <w:color w:val="000000"/>
        </w:rPr>
        <w:t xml:space="preserve"> edition, Cambridge, MA: The Belknap Press of Harvard University Press, 1999, pp.798-823.</w:t>
      </w:r>
      <w:r w:rsidRPr="00F91727">
        <w:rPr>
          <w:rFonts w:eastAsia="標楷體" w:hint="eastAsia"/>
          <w:color w:val="000000"/>
        </w:rPr>
        <w:t>（選讀）</w:t>
      </w:r>
    </w:p>
    <w:p w:rsidR="00BB0654" w:rsidRPr="00F91727" w:rsidRDefault="00F91727" w:rsidP="00F91727">
      <w:pPr>
        <w:numPr>
          <w:ilvl w:val="0"/>
          <w:numId w:val="14"/>
        </w:numPr>
        <w:rPr>
          <w:rFonts w:eastAsia="標楷體" w:hAnsi="標楷體"/>
          <w:color w:val="000000"/>
        </w:rPr>
      </w:pPr>
      <w:r w:rsidRPr="00F91727">
        <w:rPr>
          <w:rFonts w:eastAsia="標楷體" w:hAnsi="標楷體"/>
          <w:color w:val="000000"/>
        </w:rPr>
        <w:t>張麗卿，司法精神醫學，台北：元照，</w:t>
      </w:r>
      <w:r w:rsidRPr="00F91727">
        <w:rPr>
          <w:rFonts w:eastAsia="標楷體"/>
          <w:color w:val="000000"/>
        </w:rPr>
        <w:t xml:space="preserve"> 2004</w:t>
      </w:r>
      <w:r w:rsidRPr="00F91727">
        <w:rPr>
          <w:rFonts w:eastAsia="標楷體" w:hAnsi="標楷體"/>
          <w:color w:val="000000"/>
        </w:rPr>
        <w:t>。</w:t>
      </w:r>
      <w:r w:rsidRPr="00F91727">
        <w:rPr>
          <w:rFonts w:eastAsia="標楷體" w:hint="eastAsia"/>
          <w:color w:val="000000"/>
        </w:rPr>
        <w:t>（選讀）</w:t>
      </w:r>
    </w:p>
    <w:p w:rsidR="00531E21" w:rsidRPr="00531E21" w:rsidRDefault="00531E21" w:rsidP="00531E21">
      <w:pPr>
        <w:ind w:left="480"/>
        <w:rPr>
          <w:rFonts w:eastAsia="標楷體" w:hAnsi="標楷體"/>
          <w:color w:val="000000"/>
        </w:rPr>
      </w:pPr>
    </w:p>
    <w:p w:rsidR="00531E21" w:rsidRPr="00531E21" w:rsidRDefault="00531E21" w:rsidP="00531E21">
      <w:pPr>
        <w:rPr>
          <w:rFonts w:eastAsia="標楷體" w:hAnsi="標楷體"/>
          <w:color w:val="000000"/>
        </w:rPr>
      </w:pPr>
      <w:r w:rsidRPr="007D37C0">
        <w:rPr>
          <w:rFonts w:eastAsia="標楷體" w:hAnsi="標楷體"/>
          <w:b/>
          <w:color w:val="000000"/>
        </w:rPr>
        <w:t>第五</w:t>
      </w:r>
      <w:proofErr w:type="gramStart"/>
      <w:r w:rsidRPr="007D37C0">
        <w:rPr>
          <w:rFonts w:eastAsia="標楷體" w:hAnsi="標楷體"/>
          <w:b/>
          <w:color w:val="000000"/>
        </w:rPr>
        <w:t>週</w:t>
      </w:r>
      <w:proofErr w:type="gramEnd"/>
      <w:r w:rsidRPr="007D37C0">
        <w:rPr>
          <w:rFonts w:eastAsia="標楷體" w:hAnsi="標楷體"/>
          <w:b/>
          <w:color w:val="000000"/>
        </w:rPr>
        <w:t>（</w:t>
      </w:r>
      <w:r w:rsidR="00FD5989">
        <w:rPr>
          <w:rFonts w:eastAsia="標楷體" w:hAnsi="標楷體" w:hint="eastAsia"/>
          <w:b/>
          <w:color w:val="000000"/>
        </w:rPr>
        <w:t>10</w:t>
      </w:r>
      <w:r w:rsidRPr="007D37C0">
        <w:rPr>
          <w:rFonts w:eastAsia="標楷體"/>
          <w:b/>
          <w:color w:val="000000"/>
        </w:rPr>
        <w:t>/</w:t>
      </w:r>
      <w:r w:rsidR="00FD5989">
        <w:rPr>
          <w:rFonts w:eastAsia="標楷體" w:hint="eastAsia"/>
          <w:b/>
          <w:color w:val="000000"/>
        </w:rPr>
        <w:t>12</w:t>
      </w:r>
      <w:r w:rsidRPr="007D37C0">
        <w:rPr>
          <w:rFonts w:eastAsia="標楷體" w:hAnsi="標楷體"/>
          <w:b/>
          <w:color w:val="000000"/>
        </w:rPr>
        <w:t>）：</w:t>
      </w:r>
      <w:r w:rsidR="00E5098F">
        <w:rPr>
          <w:rFonts w:eastAsia="標楷體" w:hAnsi="標楷體" w:hint="eastAsia"/>
          <w:color w:val="000000"/>
        </w:rPr>
        <w:t xml:space="preserve">3 </w:t>
      </w:r>
      <w:r w:rsidR="00E5098F">
        <w:rPr>
          <w:rFonts w:eastAsia="標楷體" w:hAnsi="標楷體" w:hint="eastAsia"/>
          <w:color w:val="000000"/>
        </w:rPr>
        <w:t>小時</w:t>
      </w:r>
    </w:p>
    <w:p w:rsidR="00E5098F" w:rsidRPr="007D37C0" w:rsidRDefault="00E5098F" w:rsidP="00E5098F">
      <w:pPr>
        <w:rPr>
          <w:rFonts w:eastAsia="標楷體"/>
          <w:color w:val="000000"/>
        </w:rPr>
      </w:pPr>
      <w:r w:rsidRPr="007D37C0">
        <w:rPr>
          <w:rFonts w:eastAsia="標楷體" w:hAnsi="標楷體"/>
          <w:i/>
          <w:color w:val="000000"/>
        </w:rPr>
        <w:t>案例：</w:t>
      </w:r>
      <w:proofErr w:type="spellStart"/>
      <w:r w:rsidRPr="007D37C0">
        <w:rPr>
          <w:rFonts w:eastAsia="標楷體"/>
          <w:i/>
          <w:color w:val="000000"/>
        </w:rPr>
        <w:t>Tarasoff</w:t>
      </w:r>
      <w:proofErr w:type="spellEnd"/>
      <w:r w:rsidRPr="007D37C0">
        <w:rPr>
          <w:rFonts w:eastAsia="標楷體"/>
          <w:i/>
          <w:color w:val="000000"/>
        </w:rPr>
        <w:t xml:space="preserve"> v. Regents of </w:t>
      </w:r>
      <w:smartTag w:uri="urn:schemas-microsoft-com:office:smarttags" w:element="place">
        <w:smartTag w:uri="urn:schemas-microsoft-com:office:smarttags" w:element="PlaceType">
          <w:r w:rsidRPr="007D37C0">
            <w:rPr>
              <w:rFonts w:eastAsia="標楷體"/>
              <w:i/>
              <w:color w:val="000000"/>
            </w:rPr>
            <w:t>University</w:t>
          </w:r>
        </w:smartTag>
        <w:r w:rsidRPr="007D37C0">
          <w:rPr>
            <w:rFonts w:eastAsia="標楷體"/>
            <w:i/>
            <w:color w:val="000000"/>
          </w:rPr>
          <w:t xml:space="preserve"> of </w:t>
        </w:r>
        <w:smartTag w:uri="urn:schemas-microsoft-com:office:smarttags" w:element="PlaceName">
          <w:r w:rsidRPr="007D37C0">
            <w:rPr>
              <w:rFonts w:eastAsia="標楷體"/>
              <w:i/>
              <w:color w:val="000000"/>
            </w:rPr>
            <w:t>California</w:t>
          </w:r>
        </w:smartTag>
      </w:smartTag>
      <w:r w:rsidRPr="007D37C0">
        <w:rPr>
          <w:rFonts w:eastAsia="標楷體"/>
          <w:color w:val="000000"/>
        </w:rPr>
        <w:t xml:space="preserve"> (</w:t>
      </w:r>
      <w:r w:rsidRPr="007D37C0">
        <w:rPr>
          <w:rFonts w:eastAsia="標楷體" w:hAnsi="標楷體"/>
          <w:color w:val="000000"/>
        </w:rPr>
        <w:t>見參考讀物</w:t>
      </w:r>
      <w:r w:rsidRPr="007D37C0">
        <w:rPr>
          <w:rFonts w:eastAsia="標楷體"/>
          <w:color w:val="000000"/>
        </w:rPr>
        <w:t>)</w:t>
      </w:r>
    </w:p>
    <w:p w:rsidR="00E5098F" w:rsidRPr="007D37C0" w:rsidRDefault="00E5098F" w:rsidP="00E5098F">
      <w:pPr>
        <w:rPr>
          <w:rFonts w:eastAsia="標楷體"/>
          <w:color w:val="000000"/>
        </w:rPr>
      </w:pPr>
      <w:r w:rsidRPr="007D37C0">
        <w:rPr>
          <w:rFonts w:eastAsia="標楷體" w:hAnsi="標楷體"/>
          <w:i/>
          <w:color w:val="000000"/>
        </w:rPr>
        <w:lastRenderedPageBreak/>
        <w:t>問題：</w:t>
      </w:r>
      <w:r w:rsidRPr="007D37C0">
        <w:rPr>
          <w:rFonts w:eastAsia="標楷體" w:hAnsi="標楷體"/>
          <w:color w:val="000000"/>
        </w:rPr>
        <w:t>當精神科醫師或心理治療師的病人威脅要殺害他人時，精神科醫師或心理治療師有義務警告其潛在的被害人嗎？</w:t>
      </w:r>
    </w:p>
    <w:p w:rsidR="00E5098F" w:rsidRPr="007D37C0" w:rsidRDefault="00E5098F" w:rsidP="00E5098F">
      <w:pPr>
        <w:rPr>
          <w:rFonts w:eastAsia="標楷體"/>
          <w:i/>
          <w:color w:val="000000"/>
        </w:rPr>
      </w:pPr>
      <w:r w:rsidRPr="007D37C0">
        <w:rPr>
          <w:rFonts w:eastAsia="標楷體" w:hAnsi="標楷體"/>
          <w:i/>
          <w:color w:val="000000"/>
        </w:rPr>
        <w:t>參考讀物：</w:t>
      </w:r>
    </w:p>
    <w:p w:rsidR="00E5098F" w:rsidRPr="00E5098F" w:rsidRDefault="00E5098F" w:rsidP="00E5098F">
      <w:pPr>
        <w:numPr>
          <w:ilvl w:val="0"/>
          <w:numId w:val="9"/>
        </w:numPr>
        <w:rPr>
          <w:rFonts w:eastAsia="標楷體" w:hAnsi="標楷體"/>
          <w:color w:val="000000"/>
        </w:rPr>
      </w:pPr>
      <w:r w:rsidRPr="00E5098F">
        <w:rPr>
          <w:rFonts w:eastAsia="標楷體"/>
          <w:color w:val="000000"/>
        </w:rPr>
        <w:t xml:space="preserve">Thomas G. </w:t>
      </w:r>
      <w:proofErr w:type="spellStart"/>
      <w:r w:rsidRPr="00E5098F">
        <w:rPr>
          <w:rFonts w:eastAsia="標楷體"/>
          <w:color w:val="000000"/>
        </w:rPr>
        <w:t>Gutheil</w:t>
      </w:r>
      <w:proofErr w:type="spellEnd"/>
      <w:r w:rsidRPr="00E5098F">
        <w:rPr>
          <w:rFonts w:eastAsia="標楷體"/>
          <w:color w:val="000000"/>
        </w:rPr>
        <w:t xml:space="preserve">, Moral Justification for </w:t>
      </w:r>
      <w:proofErr w:type="spellStart"/>
      <w:r w:rsidRPr="00E5098F">
        <w:rPr>
          <w:rFonts w:eastAsia="標楷體"/>
          <w:color w:val="000000"/>
        </w:rPr>
        <w:t>Tarasoff</w:t>
      </w:r>
      <w:proofErr w:type="spellEnd"/>
      <w:r w:rsidRPr="00E5098F">
        <w:rPr>
          <w:rFonts w:eastAsia="標楷體"/>
          <w:color w:val="000000"/>
        </w:rPr>
        <w:t xml:space="preserve">-Type Warnings and Breach of Confidentiality: A Clinician’s Perspective, </w:t>
      </w:r>
      <w:r w:rsidRPr="00E5098F">
        <w:rPr>
          <w:rFonts w:eastAsia="標楷體"/>
          <w:i/>
          <w:color w:val="000000"/>
        </w:rPr>
        <w:t>Behavioral Sciences and the Law</w:t>
      </w:r>
      <w:r w:rsidRPr="00E5098F">
        <w:rPr>
          <w:rFonts w:eastAsia="標楷體"/>
          <w:color w:val="000000"/>
        </w:rPr>
        <w:t>, 2001, 19: 345-353.</w:t>
      </w:r>
      <w:r w:rsidRPr="00E5098F">
        <w:rPr>
          <w:rFonts w:eastAsia="標楷體" w:hint="eastAsia"/>
          <w:color w:val="000000"/>
        </w:rPr>
        <w:t>（必讀）</w:t>
      </w:r>
    </w:p>
    <w:p w:rsidR="007E2F0A" w:rsidRPr="009E4C76" w:rsidRDefault="00E5098F" w:rsidP="00E5098F">
      <w:pPr>
        <w:numPr>
          <w:ilvl w:val="0"/>
          <w:numId w:val="9"/>
        </w:numPr>
        <w:rPr>
          <w:rFonts w:eastAsia="標楷體" w:hAnsi="標楷體"/>
          <w:color w:val="000000"/>
        </w:rPr>
      </w:pPr>
      <w:r w:rsidRPr="00E5098F">
        <w:rPr>
          <w:rFonts w:eastAsia="標楷體"/>
          <w:color w:val="000000"/>
        </w:rPr>
        <w:t xml:space="preserve">Paul B. Herbert, The Duty to Warn: A Reconsideration and Critique, </w:t>
      </w:r>
      <w:r w:rsidRPr="00E5098F">
        <w:rPr>
          <w:rFonts w:eastAsia="標楷體"/>
          <w:i/>
          <w:color w:val="000000"/>
        </w:rPr>
        <w:t xml:space="preserve">Journal of the </w:t>
      </w:r>
      <w:smartTag w:uri="urn:schemas-microsoft-com:office:smarttags" w:element="place">
        <w:smartTag w:uri="urn:schemas-microsoft-com:office:smarttags" w:element="PlaceName">
          <w:r w:rsidRPr="00E5098F">
            <w:rPr>
              <w:rFonts w:eastAsia="標楷體"/>
              <w:i/>
              <w:color w:val="000000"/>
            </w:rPr>
            <w:t>American</w:t>
          </w:r>
        </w:smartTag>
        <w:r w:rsidRPr="00E5098F">
          <w:rPr>
            <w:rFonts w:eastAsia="標楷體"/>
            <w:i/>
            <w:color w:val="000000"/>
          </w:rPr>
          <w:t xml:space="preserve"> </w:t>
        </w:r>
        <w:smartTag w:uri="urn:schemas-microsoft-com:office:smarttags" w:element="PlaceType">
          <w:r w:rsidRPr="00E5098F">
            <w:rPr>
              <w:rFonts w:eastAsia="標楷體"/>
              <w:i/>
              <w:color w:val="000000"/>
            </w:rPr>
            <w:t>Academy</w:t>
          </w:r>
        </w:smartTag>
      </w:smartTag>
      <w:r w:rsidRPr="00E5098F">
        <w:rPr>
          <w:rFonts w:eastAsia="標楷體"/>
          <w:i/>
          <w:color w:val="000000"/>
        </w:rPr>
        <w:t xml:space="preserve"> of Psychiatry and the Law</w:t>
      </w:r>
      <w:r w:rsidRPr="00E5098F">
        <w:rPr>
          <w:rFonts w:eastAsia="標楷體"/>
          <w:color w:val="000000"/>
        </w:rPr>
        <w:t>, 2002, 30:417-424.</w:t>
      </w:r>
      <w:r w:rsidRPr="00E5098F">
        <w:rPr>
          <w:rFonts w:eastAsia="標楷體" w:hint="eastAsia"/>
          <w:color w:val="000000"/>
        </w:rPr>
        <w:t>（必讀）</w:t>
      </w:r>
    </w:p>
    <w:p w:rsidR="009E4C76" w:rsidRPr="001F334B" w:rsidRDefault="001F334B" w:rsidP="00E5098F">
      <w:pPr>
        <w:numPr>
          <w:ilvl w:val="0"/>
          <w:numId w:val="9"/>
        </w:numPr>
        <w:rPr>
          <w:rFonts w:eastAsia="標楷體"/>
          <w:b/>
          <w:color w:val="000000"/>
        </w:rPr>
      </w:pPr>
      <w:r w:rsidRPr="001F334B">
        <w:rPr>
          <w:rStyle w:val="a6"/>
          <w:b w:val="0"/>
        </w:rPr>
        <w:t xml:space="preserve">Alan R. </w:t>
      </w:r>
      <w:proofErr w:type="spellStart"/>
      <w:r w:rsidRPr="001F334B">
        <w:rPr>
          <w:rStyle w:val="a6"/>
          <w:b w:val="0"/>
        </w:rPr>
        <w:t>Felthous</w:t>
      </w:r>
      <w:proofErr w:type="spellEnd"/>
      <w:r w:rsidR="009E4C76" w:rsidRPr="001F334B">
        <w:rPr>
          <w:rStyle w:val="a6"/>
          <w:b w:val="0"/>
        </w:rPr>
        <w:t xml:space="preserve">, </w:t>
      </w:r>
      <w:r w:rsidRPr="001F334B">
        <w:t>Warning a Potential Victim of a Person's Dangerousness: Clinician's Duty or Victim's Right?</w:t>
      </w:r>
      <w:r w:rsidR="009E4C76" w:rsidRPr="001F334B">
        <w:t xml:space="preserve"> J</w:t>
      </w:r>
      <w:r w:rsidR="009E4C76" w:rsidRPr="009E4C76">
        <w:t>ournal of the American Academy of Psychiatry and the Law, 200</w:t>
      </w:r>
      <w:r>
        <w:rPr>
          <w:rFonts w:hint="eastAsia"/>
        </w:rPr>
        <w:t>6</w:t>
      </w:r>
      <w:r w:rsidR="009E4C76" w:rsidRPr="009E4C76">
        <w:t>, 3</w:t>
      </w:r>
      <w:r>
        <w:rPr>
          <w:rFonts w:hint="eastAsia"/>
        </w:rPr>
        <w:t>4</w:t>
      </w:r>
      <w:r w:rsidR="009E4C76" w:rsidRPr="009E4C76">
        <w:t>:</w:t>
      </w:r>
      <w:r>
        <w:rPr>
          <w:rFonts w:hint="eastAsia"/>
        </w:rPr>
        <w:t>338</w:t>
      </w:r>
      <w:r w:rsidR="009E4C76" w:rsidRPr="009E4C76">
        <w:t>-</w:t>
      </w:r>
      <w:r>
        <w:rPr>
          <w:rFonts w:hint="eastAsia"/>
        </w:rPr>
        <w:t>348</w:t>
      </w:r>
      <w:r w:rsidR="009E4C76" w:rsidRPr="009E4C76">
        <w:t>.</w:t>
      </w:r>
      <w:r w:rsidR="009E4C76" w:rsidRPr="00E5098F">
        <w:rPr>
          <w:rFonts w:eastAsia="標楷體" w:hint="eastAsia"/>
          <w:color w:val="000000"/>
        </w:rPr>
        <w:t>（必讀）</w:t>
      </w:r>
    </w:p>
    <w:p w:rsidR="007E2F0A" w:rsidRPr="001F334B" w:rsidRDefault="001F334B" w:rsidP="007A7538">
      <w:pPr>
        <w:numPr>
          <w:ilvl w:val="0"/>
          <w:numId w:val="9"/>
        </w:numPr>
        <w:rPr>
          <w:rStyle w:val="a6"/>
          <w:rFonts w:ascii="標楷體" w:eastAsia="標楷體" w:hAnsi="標楷體"/>
          <w:b w:val="0"/>
          <w:bCs w:val="0"/>
          <w:color w:val="000000"/>
        </w:rPr>
      </w:pPr>
      <w:r w:rsidRPr="001F334B">
        <w:rPr>
          <w:rStyle w:val="a6"/>
          <w:rFonts w:ascii="標楷體" w:eastAsia="標楷體" w:hAnsi="標楷體" w:hint="eastAsia"/>
          <w:b w:val="0"/>
        </w:rPr>
        <w:t>台灣法律關於醫療業務</w:t>
      </w:r>
      <w:r>
        <w:rPr>
          <w:rStyle w:val="a6"/>
          <w:rFonts w:ascii="標楷體" w:eastAsia="標楷體" w:hAnsi="標楷體" w:hint="eastAsia"/>
          <w:b w:val="0"/>
        </w:rPr>
        <w:t>上</w:t>
      </w:r>
      <w:r w:rsidRPr="001F334B">
        <w:rPr>
          <w:rStyle w:val="a6"/>
          <w:rFonts w:ascii="標楷體" w:eastAsia="標楷體" w:hAnsi="標楷體" w:hint="eastAsia"/>
          <w:b w:val="0"/>
        </w:rPr>
        <w:t>保守秘密之規定：刑法、醫師法、醫療法、性侵害犯罪防治法、家庭暴力防治法、傳染病防治法、個人資料保護法</w:t>
      </w:r>
      <w:r>
        <w:rPr>
          <w:rStyle w:val="a6"/>
          <w:rFonts w:ascii="標楷體" w:eastAsia="標楷體" w:hAnsi="標楷體"/>
          <w:b w:val="0"/>
        </w:rPr>
        <w:t>…</w:t>
      </w:r>
      <w:r w:rsidR="00E306B1">
        <w:rPr>
          <w:rStyle w:val="a6"/>
          <w:rFonts w:ascii="標楷體" w:eastAsia="標楷體" w:hAnsi="標楷體" w:hint="eastAsia"/>
          <w:b w:val="0"/>
        </w:rPr>
        <w:t>（選讀）</w:t>
      </w:r>
    </w:p>
    <w:p w:rsidR="001F334B" w:rsidRDefault="001F334B" w:rsidP="001F334B">
      <w:pPr>
        <w:rPr>
          <w:rStyle w:val="a6"/>
          <w:b w:val="0"/>
        </w:rPr>
      </w:pPr>
    </w:p>
    <w:p w:rsidR="001F334B" w:rsidRDefault="001F334B" w:rsidP="001F334B">
      <w:pPr>
        <w:rPr>
          <w:rFonts w:eastAsia="標楷體" w:hAnsi="標楷體"/>
          <w:color w:val="000000"/>
        </w:rPr>
      </w:pPr>
    </w:p>
    <w:p w:rsidR="007E2F0A" w:rsidRDefault="00531E21" w:rsidP="007A7538">
      <w:pPr>
        <w:rPr>
          <w:rFonts w:eastAsia="標楷體" w:hAnsi="標楷體"/>
          <w:color w:val="000000"/>
        </w:rPr>
      </w:pPr>
      <w:r w:rsidRPr="007D37C0">
        <w:rPr>
          <w:rFonts w:eastAsia="標楷體" w:hAnsi="標楷體"/>
          <w:b/>
          <w:color w:val="000000"/>
        </w:rPr>
        <w:t>第</w:t>
      </w:r>
      <w:r>
        <w:rPr>
          <w:rFonts w:eastAsia="標楷體" w:hAnsi="標楷體" w:hint="eastAsia"/>
          <w:b/>
          <w:color w:val="000000"/>
        </w:rPr>
        <w:t>六</w:t>
      </w:r>
      <w:proofErr w:type="gramStart"/>
      <w:r w:rsidRPr="007D37C0">
        <w:rPr>
          <w:rFonts w:eastAsia="標楷體" w:hAnsi="標楷體"/>
          <w:b/>
          <w:color w:val="000000"/>
        </w:rPr>
        <w:t>週</w:t>
      </w:r>
      <w:proofErr w:type="gramEnd"/>
      <w:r w:rsidRPr="007D37C0">
        <w:rPr>
          <w:rFonts w:eastAsia="標楷體" w:hAnsi="標楷體"/>
          <w:b/>
          <w:color w:val="000000"/>
        </w:rPr>
        <w:t>（</w:t>
      </w:r>
      <w:r w:rsidR="00FD5989">
        <w:rPr>
          <w:rFonts w:eastAsia="標楷體" w:hAnsi="標楷體" w:hint="eastAsia"/>
          <w:b/>
          <w:color w:val="000000"/>
        </w:rPr>
        <w:t>10</w:t>
      </w:r>
      <w:r w:rsidRPr="007D37C0">
        <w:rPr>
          <w:rFonts w:eastAsia="標楷體"/>
          <w:b/>
          <w:color w:val="000000"/>
        </w:rPr>
        <w:t>/</w:t>
      </w:r>
      <w:r w:rsidR="00FD5989">
        <w:rPr>
          <w:rFonts w:eastAsia="標楷體" w:hint="eastAsia"/>
          <w:b/>
          <w:color w:val="000000"/>
        </w:rPr>
        <w:t>19</w:t>
      </w:r>
      <w:r w:rsidRPr="007D37C0">
        <w:rPr>
          <w:rFonts w:eastAsia="標楷體" w:hAnsi="標楷體"/>
          <w:b/>
          <w:color w:val="000000"/>
        </w:rPr>
        <w:t>）：</w:t>
      </w:r>
      <w:r w:rsidR="00E5098F">
        <w:rPr>
          <w:rFonts w:eastAsia="標楷體" w:hAnsi="標楷體" w:hint="eastAsia"/>
          <w:color w:val="000000"/>
        </w:rPr>
        <w:t xml:space="preserve">3 </w:t>
      </w:r>
      <w:r w:rsidR="00E5098F">
        <w:rPr>
          <w:rFonts w:eastAsia="標楷體" w:hAnsi="標楷體" w:hint="eastAsia"/>
          <w:color w:val="000000"/>
        </w:rPr>
        <w:t>小時</w:t>
      </w:r>
    </w:p>
    <w:p w:rsidR="00E5098F" w:rsidRPr="007D37C0" w:rsidRDefault="00E5098F" w:rsidP="00E5098F">
      <w:pPr>
        <w:jc w:val="both"/>
        <w:rPr>
          <w:rFonts w:eastAsia="標楷體"/>
          <w:color w:val="000000"/>
        </w:rPr>
      </w:pPr>
      <w:r w:rsidRPr="007D37C0">
        <w:rPr>
          <w:rFonts w:eastAsia="標楷體" w:hAnsi="標楷體"/>
          <w:color w:val="000000"/>
        </w:rPr>
        <w:t>案例：</w:t>
      </w:r>
      <w:proofErr w:type="spellStart"/>
      <w:r w:rsidRPr="007D37C0">
        <w:rPr>
          <w:rFonts w:eastAsia="標楷體"/>
          <w:i/>
          <w:color w:val="000000"/>
        </w:rPr>
        <w:t>Osheroff</w:t>
      </w:r>
      <w:proofErr w:type="spellEnd"/>
      <w:r w:rsidRPr="007D37C0">
        <w:rPr>
          <w:rFonts w:eastAsia="標楷體"/>
          <w:i/>
          <w:color w:val="000000"/>
        </w:rPr>
        <w:t xml:space="preserve"> v. Chestnut Lodge </w:t>
      </w:r>
      <w:r w:rsidRPr="007D37C0">
        <w:rPr>
          <w:rFonts w:eastAsia="標楷體"/>
          <w:color w:val="000000"/>
        </w:rPr>
        <w:t>(</w:t>
      </w:r>
      <w:r w:rsidRPr="007D37C0">
        <w:rPr>
          <w:rFonts w:eastAsia="標楷體" w:hAnsi="標楷體"/>
          <w:color w:val="000000"/>
        </w:rPr>
        <w:t>見參考讀物</w:t>
      </w:r>
      <w:r w:rsidRPr="007D37C0">
        <w:rPr>
          <w:rFonts w:eastAsia="標楷體"/>
          <w:color w:val="000000"/>
        </w:rPr>
        <w:t>)</w:t>
      </w:r>
    </w:p>
    <w:p w:rsidR="00E5098F" w:rsidRPr="007D37C0" w:rsidRDefault="00E5098F" w:rsidP="00E5098F">
      <w:pPr>
        <w:jc w:val="both"/>
        <w:rPr>
          <w:rFonts w:eastAsia="標楷體"/>
          <w:color w:val="000000"/>
        </w:rPr>
      </w:pPr>
      <w:r w:rsidRPr="007D37C0">
        <w:rPr>
          <w:rFonts w:eastAsia="標楷體" w:hAnsi="標楷體"/>
          <w:color w:val="000000"/>
        </w:rPr>
        <w:t>問題：精神科病人有權利要求精神科醫師提供之治療必須經「科學」證明為有效嗎？</w:t>
      </w:r>
    </w:p>
    <w:p w:rsidR="00E5098F" w:rsidRDefault="001F334B" w:rsidP="00E5098F">
      <w:pPr>
        <w:numPr>
          <w:ilvl w:val="0"/>
          <w:numId w:val="3"/>
        </w:numPr>
        <w:jc w:val="both"/>
        <w:rPr>
          <w:rFonts w:eastAsia="標楷體"/>
          <w:color w:val="000000"/>
        </w:rPr>
      </w:pPr>
      <w:r>
        <w:rPr>
          <w:rFonts w:eastAsia="標楷體"/>
          <w:color w:val="000000"/>
        </w:rPr>
        <w:t>Ger</w:t>
      </w:r>
      <w:r>
        <w:rPr>
          <w:rFonts w:eastAsia="標楷體" w:hint="eastAsia"/>
          <w:color w:val="000000"/>
        </w:rPr>
        <w:t>a</w:t>
      </w:r>
      <w:r w:rsidR="00E5098F" w:rsidRPr="00E5098F">
        <w:rPr>
          <w:rFonts w:eastAsia="標楷體"/>
          <w:color w:val="000000"/>
        </w:rPr>
        <w:t xml:space="preserve">ld L. </w:t>
      </w:r>
      <w:proofErr w:type="spellStart"/>
      <w:r w:rsidR="00E5098F" w:rsidRPr="00E5098F">
        <w:rPr>
          <w:rFonts w:eastAsia="標楷體"/>
          <w:color w:val="000000"/>
        </w:rPr>
        <w:t>Klerman</w:t>
      </w:r>
      <w:proofErr w:type="spellEnd"/>
      <w:r w:rsidR="00E5098F" w:rsidRPr="00E5098F">
        <w:rPr>
          <w:rFonts w:eastAsia="標楷體"/>
          <w:color w:val="000000"/>
        </w:rPr>
        <w:t xml:space="preserve">, The Psychiatric Patient’s Right to Effective Treatment: Implications of </w:t>
      </w:r>
      <w:proofErr w:type="spellStart"/>
      <w:r w:rsidR="00E5098F" w:rsidRPr="00E5098F">
        <w:rPr>
          <w:rFonts w:eastAsia="標楷體"/>
          <w:i/>
          <w:color w:val="000000"/>
        </w:rPr>
        <w:t>Osheroff</w:t>
      </w:r>
      <w:proofErr w:type="spellEnd"/>
      <w:r w:rsidR="00E5098F" w:rsidRPr="00E5098F">
        <w:rPr>
          <w:rFonts w:eastAsia="標楷體"/>
          <w:i/>
          <w:color w:val="000000"/>
        </w:rPr>
        <w:t xml:space="preserve"> </w:t>
      </w:r>
      <w:proofErr w:type="spellStart"/>
      <w:r w:rsidR="00E5098F" w:rsidRPr="00E5098F">
        <w:rPr>
          <w:rFonts w:eastAsia="標楷體"/>
          <w:i/>
          <w:color w:val="000000"/>
        </w:rPr>
        <w:t>v.Chestnut</w:t>
      </w:r>
      <w:proofErr w:type="spellEnd"/>
      <w:r w:rsidR="00E5098F" w:rsidRPr="00E5098F">
        <w:rPr>
          <w:rFonts w:eastAsia="標楷體"/>
          <w:i/>
          <w:color w:val="000000"/>
        </w:rPr>
        <w:t xml:space="preserve"> Lodge</w:t>
      </w:r>
      <w:r w:rsidR="00E5098F" w:rsidRPr="00E5098F">
        <w:rPr>
          <w:rFonts w:eastAsia="標楷體"/>
          <w:color w:val="000000"/>
        </w:rPr>
        <w:t>, American Journal of Psychiatry, 1990, 419-427.</w:t>
      </w:r>
      <w:r w:rsidR="00E5098F" w:rsidRPr="00E5098F">
        <w:rPr>
          <w:rFonts w:eastAsia="標楷體" w:hint="eastAsia"/>
          <w:color w:val="000000"/>
        </w:rPr>
        <w:t>（必讀）</w:t>
      </w:r>
    </w:p>
    <w:p w:rsidR="00BB0654" w:rsidRDefault="00E5098F" w:rsidP="00E5098F">
      <w:pPr>
        <w:numPr>
          <w:ilvl w:val="0"/>
          <w:numId w:val="3"/>
        </w:numPr>
        <w:jc w:val="both"/>
        <w:rPr>
          <w:rFonts w:eastAsia="標楷體"/>
          <w:color w:val="000000"/>
        </w:rPr>
      </w:pPr>
      <w:r w:rsidRPr="00E5098F">
        <w:rPr>
          <w:rFonts w:eastAsia="標楷體"/>
          <w:color w:val="000000"/>
        </w:rPr>
        <w:t xml:space="preserve">Alan A. Stone, Law Science, and Psychiatric Malpractice: A Response to </w:t>
      </w:r>
      <w:proofErr w:type="spellStart"/>
      <w:r w:rsidRPr="00E5098F">
        <w:rPr>
          <w:rFonts w:eastAsia="標楷體"/>
          <w:color w:val="000000"/>
        </w:rPr>
        <w:t>Klerman’s</w:t>
      </w:r>
      <w:proofErr w:type="spellEnd"/>
      <w:r w:rsidRPr="00E5098F">
        <w:rPr>
          <w:rFonts w:eastAsia="標楷體"/>
          <w:color w:val="000000"/>
        </w:rPr>
        <w:t xml:space="preserve"> Indictment of Psychoanalytic Psychiatry, American Journal of Psychiatry, 1990, 147: 419-427.</w:t>
      </w:r>
      <w:r w:rsidRPr="00E5098F">
        <w:rPr>
          <w:rFonts w:eastAsia="標楷體" w:hint="eastAsia"/>
          <w:color w:val="000000"/>
        </w:rPr>
        <w:t>（必讀）</w:t>
      </w:r>
    </w:p>
    <w:p w:rsidR="003968B4" w:rsidRPr="003968B4" w:rsidRDefault="003968B4" w:rsidP="00E5098F">
      <w:pPr>
        <w:numPr>
          <w:ilvl w:val="0"/>
          <w:numId w:val="3"/>
        </w:numPr>
        <w:jc w:val="both"/>
        <w:rPr>
          <w:rFonts w:eastAsia="標楷體"/>
          <w:color w:val="000000"/>
        </w:rPr>
      </w:pPr>
      <w:bookmarkStart w:id="0" w:name="OLE_LINK1"/>
      <w:r w:rsidRPr="003968B4">
        <w:rPr>
          <w:rStyle w:val="addmd1"/>
          <w:rFonts w:ascii="Times New Roman" w:hAnsi="Times New Roman" w:cs="Times New Roman"/>
          <w:color w:val="000000"/>
          <w:sz w:val="24"/>
          <w:szCs w:val="24"/>
        </w:rPr>
        <w:t>Donald J Meyer and Robert I Simon, Psychiatric malpractice and the standard of care, in Robert I. Simon,</w:t>
      </w:r>
      <w:r>
        <w:rPr>
          <w:rStyle w:val="addmd1"/>
          <w:rFonts w:ascii="Times New Roman" w:hAnsi="Times New Roman" w:cs="Times New Roman" w:hint="eastAsia"/>
          <w:color w:val="000000"/>
          <w:sz w:val="24"/>
          <w:szCs w:val="24"/>
        </w:rPr>
        <w:t xml:space="preserve"> </w:t>
      </w:r>
      <w:r w:rsidRPr="003968B4">
        <w:rPr>
          <w:rStyle w:val="addmd1"/>
          <w:rFonts w:ascii="Times New Roman" w:hAnsi="Times New Roman" w:cs="Times New Roman"/>
          <w:color w:val="000000"/>
          <w:sz w:val="24"/>
          <w:szCs w:val="24"/>
        </w:rPr>
        <w:t>Liza H. Gold</w:t>
      </w:r>
      <w:r w:rsidRPr="003968B4">
        <w:rPr>
          <w:color w:val="000000"/>
        </w:rPr>
        <w:t xml:space="preserve"> eds., The A</w:t>
      </w:r>
      <w:r>
        <w:rPr>
          <w:color w:val="000000"/>
        </w:rPr>
        <w:t xml:space="preserve">merican Psychiatric Publishing </w:t>
      </w:r>
      <w:r>
        <w:rPr>
          <w:rFonts w:hint="eastAsia"/>
          <w:color w:val="000000"/>
        </w:rPr>
        <w:t>T</w:t>
      </w:r>
      <w:r>
        <w:rPr>
          <w:color w:val="000000"/>
        </w:rPr>
        <w:t xml:space="preserve">extbook of </w:t>
      </w:r>
      <w:r>
        <w:rPr>
          <w:rFonts w:hint="eastAsia"/>
          <w:color w:val="000000"/>
        </w:rPr>
        <w:t>F</w:t>
      </w:r>
      <w:r w:rsidRPr="003968B4">
        <w:rPr>
          <w:color w:val="000000"/>
        </w:rPr>
        <w:t xml:space="preserve">orensic </w:t>
      </w:r>
      <w:r>
        <w:rPr>
          <w:rFonts w:hint="eastAsia"/>
          <w:color w:val="000000"/>
        </w:rPr>
        <w:t>P</w:t>
      </w:r>
      <w:r w:rsidRPr="003968B4">
        <w:rPr>
          <w:color w:val="000000"/>
        </w:rPr>
        <w:t xml:space="preserve">sychiatry, Arlington, VA: American Psychiatric Publishing, Inc., 2004, </w:t>
      </w:r>
      <w:r>
        <w:rPr>
          <w:rFonts w:hint="eastAsia"/>
          <w:color w:val="000000"/>
        </w:rPr>
        <w:t>pp.</w:t>
      </w:r>
      <w:r w:rsidRPr="003968B4">
        <w:rPr>
          <w:color w:val="000000"/>
        </w:rPr>
        <w:t>185-204.</w:t>
      </w:r>
      <w:bookmarkEnd w:id="0"/>
      <w:r w:rsidRPr="00E5098F">
        <w:rPr>
          <w:rFonts w:eastAsia="標楷體" w:hint="eastAsia"/>
          <w:color w:val="000000"/>
        </w:rPr>
        <w:t>（必讀）</w:t>
      </w:r>
    </w:p>
    <w:p w:rsidR="00B45D5C" w:rsidRDefault="00B45D5C" w:rsidP="0098156E">
      <w:pPr>
        <w:rPr>
          <w:rFonts w:eastAsia="標楷體"/>
          <w:color w:val="000000"/>
        </w:rPr>
      </w:pPr>
    </w:p>
    <w:p w:rsidR="00970201" w:rsidRDefault="00531E21" w:rsidP="00531E21">
      <w:pPr>
        <w:rPr>
          <w:rFonts w:eastAsia="標楷體" w:hAnsi="標楷體"/>
          <w:b/>
          <w:color w:val="000000"/>
        </w:rPr>
      </w:pPr>
      <w:r w:rsidRPr="00FD5989">
        <w:rPr>
          <w:rFonts w:eastAsia="標楷體" w:hAnsi="標楷體"/>
          <w:b/>
          <w:color w:val="000000"/>
          <w:highlight w:val="yellow"/>
        </w:rPr>
        <w:t>第</w:t>
      </w:r>
      <w:r w:rsidRPr="00FD5989">
        <w:rPr>
          <w:rFonts w:eastAsia="標楷體" w:hAnsi="標楷體" w:hint="eastAsia"/>
          <w:b/>
          <w:color w:val="000000"/>
          <w:highlight w:val="yellow"/>
        </w:rPr>
        <w:t>七</w:t>
      </w:r>
      <w:proofErr w:type="gramStart"/>
      <w:r w:rsidRPr="00FD5989">
        <w:rPr>
          <w:rFonts w:eastAsia="標楷體" w:hAnsi="標楷體"/>
          <w:b/>
          <w:color w:val="000000"/>
          <w:highlight w:val="yellow"/>
        </w:rPr>
        <w:t>週</w:t>
      </w:r>
      <w:proofErr w:type="gramEnd"/>
      <w:r w:rsidRPr="00FD5989">
        <w:rPr>
          <w:rFonts w:eastAsia="標楷體" w:hAnsi="標楷體"/>
          <w:b/>
          <w:color w:val="000000"/>
          <w:highlight w:val="yellow"/>
        </w:rPr>
        <w:t>（</w:t>
      </w:r>
      <w:r w:rsidR="00FD5989" w:rsidRPr="00FD5989">
        <w:rPr>
          <w:rFonts w:eastAsia="標楷體" w:hAnsi="標楷體" w:hint="eastAsia"/>
          <w:b/>
          <w:color w:val="000000"/>
          <w:highlight w:val="yellow"/>
        </w:rPr>
        <w:t>10</w:t>
      </w:r>
      <w:r w:rsidRPr="00FD5989">
        <w:rPr>
          <w:rFonts w:eastAsia="標楷體"/>
          <w:b/>
          <w:color w:val="000000"/>
          <w:highlight w:val="yellow"/>
        </w:rPr>
        <w:t>/</w:t>
      </w:r>
      <w:r w:rsidR="00FD5989" w:rsidRPr="00FD5989">
        <w:rPr>
          <w:rFonts w:eastAsia="標楷體" w:hint="eastAsia"/>
          <w:b/>
          <w:color w:val="000000"/>
          <w:highlight w:val="yellow"/>
        </w:rPr>
        <w:t>26</w:t>
      </w:r>
      <w:r w:rsidRPr="00FD5989">
        <w:rPr>
          <w:rFonts w:eastAsia="標楷體" w:hAnsi="標楷體"/>
          <w:b/>
          <w:color w:val="000000"/>
          <w:highlight w:val="yellow"/>
        </w:rPr>
        <w:t>）：</w:t>
      </w:r>
      <w:r w:rsidR="00FD5989" w:rsidRPr="00FD5989">
        <w:rPr>
          <w:rFonts w:eastAsia="標楷體" w:hAnsi="標楷體" w:hint="eastAsia"/>
          <w:b/>
          <w:color w:val="000000"/>
          <w:highlight w:val="yellow"/>
        </w:rPr>
        <w:t>準備</w:t>
      </w:r>
    </w:p>
    <w:p w:rsidR="00BB0654" w:rsidRPr="007D37C0" w:rsidRDefault="00BB0654" w:rsidP="00BB0654">
      <w:pPr>
        <w:rPr>
          <w:rFonts w:eastAsia="標楷體"/>
          <w:b/>
          <w:color w:val="000000"/>
        </w:rPr>
      </w:pPr>
    </w:p>
    <w:p w:rsidR="00BB0654" w:rsidRPr="007D37C0" w:rsidRDefault="00E42B93" w:rsidP="00BB0654">
      <w:pPr>
        <w:rPr>
          <w:rFonts w:eastAsia="標楷體"/>
          <w:color w:val="000000"/>
        </w:rPr>
      </w:pPr>
      <w:r w:rsidRPr="007D37C0">
        <w:rPr>
          <w:rFonts w:eastAsia="標楷體" w:hAnsi="標楷體"/>
          <w:b/>
          <w:color w:val="000000"/>
        </w:rPr>
        <w:t>第</w:t>
      </w:r>
      <w:r>
        <w:rPr>
          <w:rFonts w:eastAsia="標楷體" w:hAnsi="標楷體" w:hint="eastAsia"/>
          <w:b/>
          <w:color w:val="000000"/>
        </w:rPr>
        <w:t>八</w:t>
      </w:r>
      <w:proofErr w:type="gramStart"/>
      <w:r w:rsidRPr="007D37C0">
        <w:rPr>
          <w:rFonts w:eastAsia="標楷體" w:hAnsi="標楷體"/>
          <w:b/>
          <w:color w:val="000000"/>
        </w:rPr>
        <w:t>週</w:t>
      </w:r>
      <w:proofErr w:type="gramEnd"/>
      <w:r w:rsidRPr="007D37C0">
        <w:rPr>
          <w:rFonts w:eastAsia="標楷體" w:hAnsi="標楷體"/>
          <w:b/>
          <w:color w:val="000000"/>
        </w:rPr>
        <w:t>（</w:t>
      </w:r>
      <w:r w:rsidR="00FD5989">
        <w:rPr>
          <w:rFonts w:eastAsia="標楷體" w:hAnsi="標楷體" w:hint="eastAsia"/>
          <w:b/>
          <w:color w:val="000000"/>
        </w:rPr>
        <w:t>11</w:t>
      </w:r>
      <w:r w:rsidRPr="007D37C0">
        <w:rPr>
          <w:rFonts w:eastAsia="標楷體"/>
          <w:b/>
          <w:color w:val="000000"/>
        </w:rPr>
        <w:t>/</w:t>
      </w:r>
      <w:r w:rsidR="00FD5989">
        <w:rPr>
          <w:rFonts w:eastAsia="標楷體" w:hint="eastAsia"/>
          <w:b/>
          <w:color w:val="000000"/>
        </w:rPr>
        <w:t>2</w:t>
      </w:r>
      <w:r w:rsidRPr="007D37C0">
        <w:rPr>
          <w:rFonts w:eastAsia="標楷體" w:hAnsi="標楷體"/>
          <w:b/>
          <w:color w:val="000000"/>
        </w:rPr>
        <w:t>）：</w:t>
      </w:r>
      <w:r w:rsidR="00E5098F">
        <w:rPr>
          <w:rFonts w:eastAsia="標楷體" w:hAnsi="標楷體" w:hint="eastAsia"/>
          <w:b/>
          <w:color w:val="000000"/>
        </w:rPr>
        <w:t>3</w:t>
      </w:r>
      <w:r w:rsidR="00E5098F">
        <w:rPr>
          <w:rFonts w:eastAsia="標楷體" w:hAnsi="標楷體" w:hint="eastAsia"/>
          <w:b/>
          <w:color w:val="000000"/>
        </w:rPr>
        <w:t>小時</w:t>
      </w:r>
    </w:p>
    <w:p w:rsidR="00FA4885" w:rsidRDefault="00FA4885" w:rsidP="00FA4885">
      <w:pPr>
        <w:rPr>
          <w:rFonts w:eastAsia="標楷體" w:hAnsi="標楷體"/>
          <w:color w:val="000000"/>
        </w:rPr>
      </w:pPr>
      <w:r w:rsidRPr="007D37C0">
        <w:rPr>
          <w:rFonts w:eastAsia="標楷體" w:hAnsi="標楷體"/>
          <w:color w:val="000000"/>
        </w:rPr>
        <w:t>案例：點燃生命之海（影片）</w:t>
      </w:r>
    </w:p>
    <w:p w:rsidR="00FA4885" w:rsidRPr="00FA4885" w:rsidRDefault="00FA4885" w:rsidP="00FA4885">
      <w:pPr>
        <w:rPr>
          <w:rFonts w:eastAsia="標楷體" w:hAnsi="標楷體"/>
          <w:color w:val="000000"/>
        </w:rPr>
      </w:pPr>
      <w:r>
        <w:rPr>
          <w:rFonts w:eastAsia="標楷體" w:hAnsi="標楷體" w:hint="eastAsia"/>
          <w:i/>
          <w:color w:val="000000"/>
        </w:rPr>
        <w:t>問題</w:t>
      </w:r>
      <w:r>
        <w:rPr>
          <w:rFonts w:eastAsia="標楷體" w:hAnsi="標楷體" w:hint="eastAsia"/>
          <w:color w:val="000000"/>
        </w:rPr>
        <w:t>：我們應該容許</w:t>
      </w:r>
      <w:r w:rsidRPr="007D37C0">
        <w:rPr>
          <w:rFonts w:eastAsia="標楷體" w:hAnsi="標楷體"/>
          <w:color w:val="000000"/>
        </w:rPr>
        <w:t>醫師協助病人自殺嗎？</w:t>
      </w:r>
    </w:p>
    <w:p w:rsidR="00FA4885" w:rsidRPr="00A17EA2" w:rsidRDefault="00FA4885" w:rsidP="00FA4885">
      <w:pPr>
        <w:numPr>
          <w:ilvl w:val="0"/>
          <w:numId w:val="5"/>
        </w:numPr>
        <w:rPr>
          <w:rFonts w:eastAsia="標楷體" w:hAnsi="標楷體"/>
          <w:i/>
          <w:color w:val="000000"/>
        </w:rPr>
      </w:pPr>
      <w:r w:rsidRPr="00A17EA2">
        <w:rPr>
          <w:rFonts w:eastAsia="標楷體"/>
          <w:i/>
          <w:color w:val="000000"/>
        </w:rPr>
        <w:t xml:space="preserve">Washington v. </w:t>
      </w:r>
      <w:proofErr w:type="spellStart"/>
      <w:r w:rsidRPr="00A17EA2">
        <w:rPr>
          <w:rFonts w:eastAsia="標楷體"/>
          <w:i/>
          <w:color w:val="000000"/>
        </w:rPr>
        <w:t>Glucksberg</w:t>
      </w:r>
      <w:proofErr w:type="spellEnd"/>
      <w:r w:rsidRPr="00A17EA2">
        <w:rPr>
          <w:rFonts w:eastAsia="標楷體"/>
          <w:color w:val="000000"/>
        </w:rPr>
        <w:t xml:space="preserve">, 521 </w:t>
      </w:r>
      <w:smartTag w:uri="urn:schemas-microsoft-com:office:smarttags" w:element="country-region">
        <w:smartTag w:uri="urn:schemas-microsoft-com:office:smarttags" w:element="place">
          <w:r w:rsidRPr="00A17EA2">
            <w:rPr>
              <w:rFonts w:eastAsia="標楷體"/>
              <w:color w:val="000000"/>
            </w:rPr>
            <w:t>U.S.</w:t>
          </w:r>
        </w:smartTag>
      </w:smartTag>
      <w:r w:rsidRPr="00A17EA2">
        <w:rPr>
          <w:rFonts w:eastAsia="標楷體"/>
          <w:color w:val="000000"/>
        </w:rPr>
        <w:t xml:space="preserve"> 702 (1997) </w:t>
      </w:r>
      <w:r w:rsidRPr="00A17EA2">
        <w:rPr>
          <w:rFonts w:eastAsia="標楷體" w:hint="eastAsia"/>
          <w:color w:val="000000"/>
        </w:rPr>
        <w:t>（必讀）</w:t>
      </w:r>
    </w:p>
    <w:p w:rsidR="00FA4885" w:rsidRPr="00FA4885" w:rsidRDefault="00FA4885" w:rsidP="00FA4885">
      <w:pPr>
        <w:numPr>
          <w:ilvl w:val="0"/>
          <w:numId w:val="5"/>
        </w:numPr>
        <w:rPr>
          <w:rFonts w:eastAsia="標楷體" w:hAnsi="標楷體"/>
          <w:i/>
          <w:color w:val="000000"/>
        </w:rPr>
      </w:pPr>
      <w:r w:rsidRPr="007D37C0">
        <w:t xml:space="preserve">John Rawls, Judith Jarvis Thomson, Robert </w:t>
      </w:r>
      <w:proofErr w:type="spellStart"/>
      <w:r w:rsidRPr="007D37C0">
        <w:t>Nozick</w:t>
      </w:r>
      <w:proofErr w:type="spellEnd"/>
      <w:r w:rsidRPr="007D37C0">
        <w:t xml:space="preserve">, Ronald </w:t>
      </w:r>
      <w:proofErr w:type="spellStart"/>
      <w:r w:rsidRPr="007D37C0">
        <w:t>Dworkin</w:t>
      </w:r>
      <w:proofErr w:type="spellEnd"/>
      <w:r w:rsidRPr="007D37C0">
        <w:t xml:space="preserve">, T.M. Scanlon, Thomas Nagel, Assisted Suicide: Philosophers’ Brief, The New York </w:t>
      </w:r>
      <w:r w:rsidRPr="007D37C0">
        <w:lastRenderedPageBreak/>
        <w:t xml:space="preserve">Review of Books, Vol. 44, No. 5, 1997, Available at </w:t>
      </w:r>
      <w:hyperlink r:id="rId9" w:history="1">
        <w:r w:rsidRPr="007D37C0">
          <w:rPr>
            <w:rStyle w:val="a3"/>
          </w:rPr>
          <w:t>http://www.nybooks.com/articles/1237</w:t>
        </w:r>
      </w:hyperlink>
      <w:r>
        <w:rPr>
          <w:rFonts w:hint="eastAsia"/>
        </w:rPr>
        <w:t xml:space="preserve"> </w:t>
      </w:r>
      <w:r w:rsidRPr="00A17EA2">
        <w:rPr>
          <w:rFonts w:eastAsia="標楷體" w:hint="eastAsia"/>
          <w:color w:val="000000"/>
        </w:rPr>
        <w:t>（必讀）</w:t>
      </w:r>
    </w:p>
    <w:p w:rsidR="00E5098F" w:rsidRPr="00FA4885" w:rsidRDefault="00FA4885" w:rsidP="00FA4885">
      <w:pPr>
        <w:numPr>
          <w:ilvl w:val="0"/>
          <w:numId w:val="5"/>
        </w:numPr>
        <w:rPr>
          <w:rFonts w:eastAsia="標楷體"/>
          <w:color w:val="000000"/>
        </w:rPr>
      </w:pPr>
      <w:r w:rsidRPr="00FA4885">
        <w:rPr>
          <w:rFonts w:eastAsia="標楷體"/>
          <w:color w:val="000000"/>
        </w:rPr>
        <w:t>蔡宗珍，安樂死合法化的憲法思考基礎</w:t>
      </w:r>
      <w:proofErr w:type="gramStart"/>
      <w:r w:rsidRPr="00FA4885">
        <w:rPr>
          <w:rFonts w:eastAsia="標楷體"/>
          <w:color w:val="000000"/>
        </w:rPr>
        <w:t>─</w:t>
      </w:r>
      <w:proofErr w:type="gramEnd"/>
      <w:r w:rsidRPr="00FA4885">
        <w:rPr>
          <w:rFonts w:eastAsia="標楷體"/>
          <w:color w:val="000000"/>
        </w:rPr>
        <w:t>兼論憲法上生命權的體系結構，憲政時代，</w:t>
      </w:r>
      <w:r w:rsidRPr="00FA4885">
        <w:rPr>
          <w:rFonts w:eastAsia="標楷體"/>
          <w:color w:val="000000"/>
        </w:rPr>
        <w:t>1998, 24: 29-53.</w:t>
      </w:r>
      <w:r w:rsidRPr="00FA4885">
        <w:rPr>
          <w:rFonts w:eastAsia="標楷體" w:hint="eastAsia"/>
          <w:color w:val="000000"/>
        </w:rPr>
        <w:t xml:space="preserve"> </w:t>
      </w:r>
      <w:r w:rsidRPr="00FA4885">
        <w:rPr>
          <w:rFonts w:eastAsia="標楷體" w:hint="eastAsia"/>
          <w:color w:val="000000"/>
        </w:rPr>
        <w:t>（必讀）</w:t>
      </w:r>
    </w:p>
    <w:p w:rsidR="004C592F" w:rsidRPr="00C801F0" w:rsidRDefault="004C592F" w:rsidP="00176DA1">
      <w:pPr>
        <w:jc w:val="both"/>
        <w:rPr>
          <w:rFonts w:eastAsia="標楷體"/>
          <w:color w:val="000000"/>
        </w:rPr>
      </w:pPr>
    </w:p>
    <w:p w:rsidR="00F34230" w:rsidRPr="007D37C0" w:rsidRDefault="00F34230" w:rsidP="00F34230">
      <w:pPr>
        <w:rPr>
          <w:rFonts w:eastAsia="標楷體"/>
          <w:color w:val="000000"/>
        </w:rPr>
      </w:pPr>
      <w:r w:rsidRPr="0082614E">
        <w:rPr>
          <w:rFonts w:eastAsia="標楷體" w:hAnsi="標楷體"/>
          <w:b/>
          <w:color w:val="000000"/>
        </w:rPr>
        <w:t>第</w:t>
      </w:r>
      <w:r w:rsidRPr="0082614E">
        <w:rPr>
          <w:rFonts w:eastAsia="標楷體" w:hAnsi="標楷體" w:hint="eastAsia"/>
          <w:b/>
          <w:color w:val="000000"/>
        </w:rPr>
        <w:t>九</w:t>
      </w:r>
      <w:proofErr w:type="gramStart"/>
      <w:r w:rsidRPr="0082614E">
        <w:rPr>
          <w:rFonts w:eastAsia="標楷體" w:hAnsi="標楷體"/>
          <w:b/>
          <w:color w:val="000000"/>
        </w:rPr>
        <w:t>週</w:t>
      </w:r>
      <w:proofErr w:type="gramEnd"/>
      <w:r w:rsidRPr="0082614E">
        <w:rPr>
          <w:rFonts w:eastAsia="標楷體" w:hAnsi="標楷體"/>
          <w:b/>
          <w:color w:val="000000"/>
        </w:rPr>
        <w:t>（</w:t>
      </w:r>
      <w:r w:rsidR="00FD5989" w:rsidRPr="0082614E">
        <w:rPr>
          <w:rFonts w:eastAsia="標楷體" w:hAnsi="標楷體" w:hint="eastAsia"/>
          <w:b/>
          <w:color w:val="000000"/>
        </w:rPr>
        <w:t>11</w:t>
      </w:r>
      <w:r w:rsidRPr="0082614E">
        <w:rPr>
          <w:rFonts w:eastAsia="標楷體"/>
          <w:b/>
          <w:color w:val="000000"/>
        </w:rPr>
        <w:t>/</w:t>
      </w:r>
      <w:r w:rsidR="00FD5989" w:rsidRPr="0082614E">
        <w:rPr>
          <w:rFonts w:eastAsia="標楷體" w:hint="eastAsia"/>
          <w:b/>
          <w:color w:val="000000"/>
        </w:rPr>
        <w:t>9</w:t>
      </w:r>
      <w:r w:rsidRPr="0082614E">
        <w:rPr>
          <w:rFonts w:eastAsia="標楷體" w:hAnsi="標楷體"/>
          <w:b/>
          <w:color w:val="000000"/>
        </w:rPr>
        <w:t>）：</w:t>
      </w:r>
      <w:r w:rsidR="0082614E">
        <w:rPr>
          <w:rFonts w:eastAsia="標楷體" w:hAnsi="標楷體" w:hint="eastAsia"/>
          <w:b/>
          <w:color w:val="000000"/>
        </w:rPr>
        <w:t>3</w:t>
      </w:r>
      <w:r w:rsidR="0082614E">
        <w:rPr>
          <w:rFonts w:eastAsia="標楷體" w:hAnsi="標楷體" w:hint="eastAsia"/>
          <w:b/>
          <w:color w:val="000000"/>
        </w:rPr>
        <w:t>小時</w:t>
      </w:r>
    </w:p>
    <w:p w:rsidR="00FA4885" w:rsidRPr="007D37C0" w:rsidRDefault="00FA4885" w:rsidP="00FA4885">
      <w:pPr>
        <w:rPr>
          <w:rFonts w:eastAsia="標楷體"/>
          <w:color w:val="000000"/>
        </w:rPr>
      </w:pPr>
      <w:r w:rsidRPr="007D37C0">
        <w:rPr>
          <w:rFonts w:eastAsia="標楷體" w:hAnsi="標楷體"/>
          <w:i/>
          <w:color w:val="000000"/>
        </w:rPr>
        <w:t>案例：</w:t>
      </w:r>
      <w:r w:rsidRPr="007D37C0">
        <w:rPr>
          <w:rFonts w:eastAsia="標楷體"/>
          <w:i/>
          <w:color w:val="000000"/>
        </w:rPr>
        <w:t xml:space="preserve">Muse v. </w:t>
      </w:r>
      <w:smartTag w:uri="urn:schemas-microsoft-com:office:smarttags" w:element="place">
        <w:smartTag w:uri="urn:schemas-microsoft-com:office:smarttags" w:element="PlaceName">
          <w:r w:rsidRPr="007D37C0">
            <w:rPr>
              <w:rFonts w:eastAsia="標楷體"/>
              <w:i/>
              <w:color w:val="000000"/>
            </w:rPr>
            <w:t>Charter</w:t>
          </w:r>
        </w:smartTag>
        <w:r w:rsidRPr="007D37C0">
          <w:rPr>
            <w:rFonts w:eastAsia="標楷體"/>
            <w:i/>
            <w:color w:val="000000"/>
          </w:rPr>
          <w:t xml:space="preserve"> </w:t>
        </w:r>
        <w:smartTag w:uri="urn:schemas-microsoft-com:office:smarttags" w:element="PlaceType">
          <w:r w:rsidRPr="007D37C0">
            <w:rPr>
              <w:rFonts w:eastAsia="標楷體"/>
              <w:i/>
              <w:color w:val="000000"/>
            </w:rPr>
            <w:t>Hospital</w:t>
          </w:r>
        </w:smartTag>
      </w:smartTag>
      <w:r w:rsidRPr="007D37C0">
        <w:rPr>
          <w:rFonts w:eastAsia="標楷體"/>
          <w:i/>
          <w:color w:val="000000"/>
        </w:rPr>
        <w:t xml:space="preserve"> of Winston-Salem, Inc.</w:t>
      </w:r>
      <w:r w:rsidRPr="007D37C0">
        <w:rPr>
          <w:rFonts w:eastAsia="標楷體"/>
          <w:color w:val="000000"/>
        </w:rPr>
        <w:t>, 452 S.E.2d 589</w:t>
      </w:r>
      <w:r>
        <w:rPr>
          <w:rFonts w:eastAsia="標楷體" w:hint="eastAsia"/>
          <w:color w:val="000000"/>
        </w:rPr>
        <w:t xml:space="preserve"> (1995)</w:t>
      </w:r>
    </w:p>
    <w:p w:rsidR="00FA4885" w:rsidRPr="007D37C0" w:rsidRDefault="00FA4885" w:rsidP="00FA4885">
      <w:pPr>
        <w:rPr>
          <w:rFonts w:eastAsia="標楷體"/>
          <w:color w:val="000000"/>
        </w:rPr>
      </w:pPr>
      <w:r w:rsidRPr="007D37C0">
        <w:rPr>
          <w:rFonts w:eastAsia="標楷體" w:hAnsi="標楷體"/>
          <w:i/>
          <w:color w:val="000000"/>
        </w:rPr>
        <w:t>問題：</w:t>
      </w:r>
      <w:r w:rsidRPr="007D37C0">
        <w:rPr>
          <w:rFonts w:eastAsia="標楷體" w:hAnsi="標楷體"/>
          <w:color w:val="000000"/>
        </w:rPr>
        <w:t>精神科醫師該為他所治療的精神科病人的自殺負責嗎？</w:t>
      </w:r>
      <w:r>
        <w:rPr>
          <w:rFonts w:eastAsia="標楷體" w:hAnsi="標楷體" w:hint="eastAsia"/>
          <w:color w:val="000000"/>
        </w:rPr>
        <w:t>（</w:t>
      </w:r>
      <w:r>
        <w:rPr>
          <w:rFonts w:eastAsia="標楷體" w:hAnsi="標楷體" w:hint="eastAsia"/>
          <w:color w:val="000000"/>
        </w:rPr>
        <w:t>I</w:t>
      </w:r>
      <w:r>
        <w:rPr>
          <w:rFonts w:eastAsia="標楷體" w:hAnsi="標楷體" w:hint="eastAsia"/>
          <w:color w:val="000000"/>
        </w:rPr>
        <w:t>）</w:t>
      </w:r>
    </w:p>
    <w:p w:rsidR="00FA4885" w:rsidRPr="007D37C0" w:rsidRDefault="00FA4885" w:rsidP="00FA4885">
      <w:pPr>
        <w:rPr>
          <w:rFonts w:eastAsia="標楷體"/>
          <w:i/>
          <w:color w:val="000000"/>
        </w:rPr>
      </w:pPr>
      <w:r w:rsidRPr="007D37C0">
        <w:rPr>
          <w:rFonts w:eastAsia="標楷體" w:hAnsi="標楷體"/>
          <w:i/>
          <w:color w:val="000000"/>
        </w:rPr>
        <w:t>參考讀物：</w:t>
      </w:r>
    </w:p>
    <w:p w:rsidR="00FA4885" w:rsidRPr="00FA4885" w:rsidRDefault="00FA4885" w:rsidP="00FA4885">
      <w:pPr>
        <w:numPr>
          <w:ilvl w:val="0"/>
          <w:numId w:val="4"/>
        </w:numPr>
        <w:adjustRightInd w:val="0"/>
        <w:snapToGrid w:val="0"/>
        <w:rPr>
          <w:rFonts w:eastAsia="標楷體" w:hAnsi="標楷體"/>
          <w:b/>
          <w:color w:val="000000"/>
        </w:rPr>
      </w:pPr>
      <w:r w:rsidRPr="00FA4885">
        <w:rPr>
          <w:rFonts w:eastAsia="標楷體"/>
          <w:i/>
          <w:color w:val="000000"/>
        </w:rPr>
        <w:t xml:space="preserve">Muse v. </w:t>
      </w:r>
      <w:smartTag w:uri="urn:schemas-microsoft-com:office:smarttags" w:element="place">
        <w:smartTag w:uri="urn:schemas-microsoft-com:office:smarttags" w:element="PlaceName">
          <w:r w:rsidRPr="00FA4885">
            <w:rPr>
              <w:rFonts w:eastAsia="標楷體"/>
              <w:i/>
              <w:color w:val="000000"/>
            </w:rPr>
            <w:t>Charter</w:t>
          </w:r>
        </w:smartTag>
        <w:r w:rsidRPr="00FA4885">
          <w:rPr>
            <w:rFonts w:eastAsia="標楷體"/>
            <w:i/>
            <w:color w:val="000000"/>
          </w:rPr>
          <w:t xml:space="preserve"> </w:t>
        </w:r>
        <w:smartTag w:uri="urn:schemas-microsoft-com:office:smarttags" w:element="PlaceType">
          <w:r w:rsidRPr="00FA4885">
            <w:rPr>
              <w:rFonts w:eastAsia="標楷體"/>
              <w:i/>
              <w:color w:val="000000"/>
            </w:rPr>
            <w:t>Hospital</w:t>
          </w:r>
        </w:smartTag>
      </w:smartTag>
      <w:r w:rsidRPr="00FA4885">
        <w:rPr>
          <w:rFonts w:eastAsia="標楷體"/>
          <w:i/>
          <w:color w:val="000000"/>
        </w:rPr>
        <w:t xml:space="preserve"> of Winston-Salem, Inc.</w:t>
      </w:r>
      <w:r w:rsidRPr="00FA4885">
        <w:rPr>
          <w:rFonts w:eastAsia="標楷體"/>
          <w:color w:val="000000"/>
        </w:rPr>
        <w:t>, 452 S.E.2d 589</w:t>
      </w:r>
      <w:r w:rsidRPr="00FA4885">
        <w:rPr>
          <w:rFonts w:eastAsia="標楷體" w:hint="eastAsia"/>
          <w:color w:val="000000"/>
        </w:rPr>
        <w:t xml:space="preserve"> </w:t>
      </w:r>
      <w:r w:rsidRPr="00FA4885">
        <w:rPr>
          <w:rFonts w:eastAsia="標楷體" w:hint="eastAsia"/>
          <w:color w:val="000000"/>
        </w:rPr>
        <w:t>（</w:t>
      </w:r>
      <w:r w:rsidRPr="00FA4885">
        <w:rPr>
          <w:rFonts w:eastAsia="標楷體" w:hint="eastAsia"/>
          <w:color w:val="000000"/>
        </w:rPr>
        <w:t>1995</w:t>
      </w:r>
      <w:r w:rsidRPr="00FA4885">
        <w:rPr>
          <w:rFonts w:eastAsia="標楷體" w:hint="eastAsia"/>
          <w:color w:val="000000"/>
        </w:rPr>
        <w:t>）（必讀）</w:t>
      </w:r>
    </w:p>
    <w:p w:rsidR="00FA4885" w:rsidRPr="00FA4885" w:rsidRDefault="00FA4885" w:rsidP="00FA4885">
      <w:pPr>
        <w:numPr>
          <w:ilvl w:val="0"/>
          <w:numId w:val="4"/>
        </w:numPr>
        <w:adjustRightInd w:val="0"/>
        <w:snapToGrid w:val="0"/>
        <w:rPr>
          <w:rFonts w:eastAsia="標楷體" w:hAnsi="標楷體"/>
          <w:b/>
          <w:color w:val="000000"/>
        </w:rPr>
      </w:pPr>
      <w:r w:rsidRPr="00FA4885">
        <w:rPr>
          <w:rFonts w:eastAsia="標楷體"/>
          <w:color w:val="000000"/>
        </w:rPr>
        <w:t xml:space="preserve">Alan A. </w:t>
      </w:r>
      <w:proofErr w:type="gramStart"/>
      <w:r w:rsidRPr="00FA4885">
        <w:rPr>
          <w:rFonts w:eastAsia="標楷體"/>
          <w:color w:val="000000"/>
        </w:rPr>
        <w:t>Stone,</w:t>
      </w:r>
      <w:proofErr w:type="gramEnd"/>
      <w:r w:rsidRPr="00FA4885">
        <w:rPr>
          <w:rFonts w:eastAsia="標楷體"/>
          <w:color w:val="000000"/>
        </w:rPr>
        <w:t xml:space="preserve"> Managed Care Liability and ERISA, in The Psychiatric Clinics of </w:t>
      </w:r>
      <w:smartTag w:uri="urn:schemas-microsoft-com:office:smarttags" w:element="place">
        <w:r w:rsidRPr="00FA4885">
          <w:rPr>
            <w:rFonts w:eastAsia="標楷體"/>
            <w:color w:val="000000"/>
          </w:rPr>
          <w:t>North America</w:t>
        </w:r>
      </w:smartTag>
      <w:r w:rsidRPr="00FA4885">
        <w:rPr>
          <w:rFonts w:eastAsia="標楷體"/>
          <w:color w:val="000000"/>
        </w:rPr>
        <w:t>, 1999, 22(1): 17-29.</w:t>
      </w:r>
      <w:r w:rsidRPr="00FA4885">
        <w:rPr>
          <w:rFonts w:eastAsia="標楷體" w:hint="eastAsia"/>
          <w:color w:val="000000"/>
        </w:rPr>
        <w:t xml:space="preserve"> </w:t>
      </w:r>
      <w:r w:rsidRPr="00FA4885">
        <w:rPr>
          <w:rFonts w:eastAsia="標楷體" w:hint="eastAsia"/>
          <w:color w:val="000000"/>
        </w:rPr>
        <w:t>（必讀）</w:t>
      </w:r>
    </w:p>
    <w:p w:rsidR="00F34230" w:rsidRPr="00FA4885" w:rsidRDefault="00F34230" w:rsidP="005A20B2">
      <w:pPr>
        <w:jc w:val="both"/>
        <w:rPr>
          <w:rFonts w:eastAsia="標楷體"/>
          <w:b/>
          <w:color w:val="000000"/>
        </w:rPr>
      </w:pPr>
    </w:p>
    <w:p w:rsidR="00E42B93" w:rsidRDefault="00E42B93" w:rsidP="007A7538">
      <w:pPr>
        <w:rPr>
          <w:rFonts w:eastAsia="標楷體" w:hAnsi="標楷體"/>
          <w:b/>
          <w:color w:val="000000"/>
        </w:rPr>
      </w:pPr>
    </w:p>
    <w:p w:rsidR="00F34230" w:rsidRPr="00C801F0" w:rsidRDefault="00E42B93" w:rsidP="007A7538">
      <w:pPr>
        <w:rPr>
          <w:rFonts w:eastAsia="標楷體"/>
          <w:b/>
          <w:color w:val="000000"/>
          <w:highlight w:val="yellow"/>
        </w:rPr>
      </w:pPr>
      <w:r w:rsidRPr="0082614E">
        <w:rPr>
          <w:rFonts w:eastAsia="標楷體" w:hAnsi="標楷體"/>
          <w:b/>
          <w:color w:val="000000"/>
        </w:rPr>
        <w:t>第</w:t>
      </w:r>
      <w:r w:rsidRPr="0082614E">
        <w:rPr>
          <w:rFonts w:eastAsia="標楷體" w:hAnsi="標楷體" w:hint="eastAsia"/>
          <w:b/>
          <w:color w:val="000000"/>
        </w:rPr>
        <w:t>十</w:t>
      </w:r>
      <w:proofErr w:type="gramStart"/>
      <w:r w:rsidRPr="0082614E">
        <w:rPr>
          <w:rFonts w:eastAsia="標楷體" w:hAnsi="標楷體"/>
          <w:b/>
          <w:color w:val="000000"/>
        </w:rPr>
        <w:t>週</w:t>
      </w:r>
      <w:proofErr w:type="gramEnd"/>
      <w:r w:rsidRPr="0082614E">
        <w:rPr>
          <w:rFonts w:eastAsia="標楷體" w:hAnsi="標楷體"/>
          <w:b/>
          <w:color w:val="000000"/>
        </w:rPr>
        <w:t>（</w:t>
      </w:r>
      <w:r w:rsidR="00FD5989" w:rsidRPr="0082614E">
        <w:rPr>
          <w:rFonts w:eastAsia="標楷體" w:hAnsi="標楷體" w:hint="eastAsia"/>
          <w:b/>
          <w:color w:val="000000"/>
        </w:rPr>
        <w:t>11</w:t>
      </w:r>
      <w:r w:rsidRPr="0082614E">
        <w:rPr>
          <w:rFonts w:eastAsia="標楷體"/>
          <w:b/>
          <w:color w:val="000000"/>
        </w:rPr>
        <w:t>/</w:t>
      </w:r>
      <w:r w:rsidR="00FD5989" w:rsidRPr="0082614E">
        <w:rPr>
          <w:rFonts w:eastAsia="標楷體" w:hint="eastAsia"/>
          <w:b/>
          <w:color w:val="000000"/>
        </w:rPr>
        <w:t>16</w:t>
      </w:r>
      <w:r w:rsidRPr="0082614E">
        <w:rPr>
          <w:rFonts w:eastAsia="標楷體" w:hAnsi="標楷體"/>
          <w:b/>
          <w:color w:val="000000"/>
        </w:rPr>
        <w:t>）：</w:t>
      </w:r>
      <w:r w:rsidR="0082614E">
        <w:rPr>
          <w:rFonts w:eastAsia="標楷體" w:hAnsi="標楷體" w:hint="eastAsia"/>
          <w:b/>
          <w:color w:val="000000"/>
        </w:rPr>
        <w:t>3</w:t>
      </w:r>
      <w:r w:rsidR="0082614E">
        <w:rPr>
          <w:rFonts w:eastAsia="標楷體" w:hAnsi="標楷體" w:hint="eastAsia"/>
          <w:b/>
          <w:color w:val="000000"/>
        </w:rPr>
        <w:t>小時</w:t>
      </w:r>
    </w:p>
    <w:p w:rsidR="00FA4885" w:rsidRPr="007D37C0" w:rsidRDefault="00FA4885" w:rsidP="00FA4885">
      <w:pPr>
        <w:rPr>
          <w:rFonts w:eastAsia="標楷體"/>
          <w:color w:val="000000"/>
        </w:rPr>
      </w:pPr>
      <w:r w:rsidRPr="007D37C0">
        <w:rPr>
          <w:rFonts w:eastAsia="標楷體" w:hAnsi="標楷體"/>
          <w:i/>
          <w:color w:val="000000"/>
        </w:rPr>
        <w:t>案例：</w:t>
      </w:r>
      <w:r w:rsidRPr="007D37C0">
        <w:rPr>
          <w:rFonts w:eastAsia="標楷體"/>
          <w:i/>
          <w:color w:val="000000"/>
        </w:rPr>
        <w:t xml:space="preserve">Muse v. </w:t>
      </w:r>
      <w:smartTag w:uri="urn:schemas-microsoft-com:office:smarttags" w:element="place">
        <w:smartTag w:uri="urn:schemas-microsoft-com:office:smarttags" w:element="PlaceName">
          <w:r w:rsidRPr="007D37C0">
            <w:rPr>
              <w:rFonts w:eastAsia="標楷體"/>
              <w:i/>
              <w:color w:val="000000"/>
            </w:rPr>
            <w:t>Charter</w:t>
          </w:r>
        </w:smartTag>
        <w:r w:rsidRPr="007D37C0">
          <w:rPr>
            <w:rFonts w:eastAsia="標楷體"/>
            <w:i/>
            <w:color w:val="000000"/>
          </w:rPr>
          <w:t xml:space="preserve"> </w:t>
        </w:r>
        <w:smartTag w:uri="urn:schemas-microsoft-com:office:smarttags" w:element="PlaceType">
          <w:r w:rsidRPr="007D37C0">
            <w:rPr>
              <w:rFonts w:eastAsia="標楷體"/>
              <w:i/>
              <w:color w:val="000000"/>
            </w:rPr>
            <w:t>Hospital</w:t>
          </w:r>
        </w:smartTag>
      </w:smartTag>
      <w:r w:rsidRPr="007D37C0">
        <w:rPr>
          <w:rFonts w:eastAsia="標楷體"/>
          <w:i/>
          <w:color w:val="000000"/>
        </w:rPr>
        <w:t xml:space="preserve"> of Winston-Salem, Inc.</w:t>
      </w:r>
      <w:r w:rsidRPr="007D37C0">
        <w:rPr>
          <w:rFonts w:eastAsia="標楷體"/>
          <w:color w:val="000000"/>
        </w:rPr>
        <w:t>, 452 S.E.2d 589</w:t>
      </w:r>
      <w:r>
        <w:rPr>
          <w:rFonts w:eastAsia="標楷體" w:hint="eastAsia"/>
          <w:color w:val="000000"/>
        </w:rPr>
        <w:t xml:space="preserve"> (1995)</w:t>
      </w:r>
    </w:p>
    <w:p w:rsidR="00FA4885" w:rsidRPr="007D37C0" w:rsidRDefault="00FA4885" w:rsidP="00FA4885">
      <w:pPr>
        <w:rPr>
          <w:rFonts w:eastAsia="標楷體"/>
          <w:color w:val="000000"/>
        </w:rPr>
      </w:pPr>
      <w:r w:rsidRPr="007D37C0">
        <w:rPr>
          <w:rFonts w:eastAsia="標楷體" w:hAnsi="標楷體"/>
          <w:i/>
          <w:color w:val="000000"/>
        </w:rPr>
        <w:t>問題：</w:t>
      </w:r>
      <w:r w:rsidRPr="007D37C0">
        <w:rPr>
          <w:rFonts w:eastAsia="標楷體" w:hAnsi="標楷體"/>
          <w:color w:val="000000"/>
        </w:rPr>
        <w:t>精神科醫師該為他所治療的精神科病人的自殺負責嗎？</w:t>
      </w:r>
      <w:r>
        <w:rPr>
          <w:rFonts w:eastAsia="標楷體" w:hAnsi="標楷體" w:hint="eastAsia"/>
          <w:color w:val="000000"/>
        </w:rPr>
        <w:t>（</w:t>
      </w:r>
      <w:r>
        <w:rPr>
          <w:rFonts w:eastAsia="標楷體" w:hAnsi="標楷體" w:hint="eastAsia"/>
          <w:color w:val="000000"/>
        </w:rPr>
        <w:t>II</w:t>
      </w:r>
      <w:r>
        <w:rPr>
          <w:rFonts w:eastAsia="標楷體" w:hAnsi="標楷體" w:hint="eastAsia"/>
          <w:color w:val="000000"/>
        </w:rPr>
        <w:t>）</w:t>
      </w:r>
    </w:p>
    <w:p w:rsidR="00FA4885" w:rsidRPr="007D37C0" w:rsidRDefault="00FA4885" w:rsidP="00FA4885">
      <w:pPr>
        <w:rPr>
          <w:rFonts w:eastAsia="標楷體"/>
          <w:i/>
          <w:color w:val="000000"/>
        </w:rPr>
      </w:pPr>
      <w:r w:rsidRPr="007D37C0">
        <w:rPr>
          <w:rFonts w:eastAsia="標楷體" w:hAnsi="標楷體"/>
          <w:i/>
          <w:color w:val="000000"/>
        </w:rPr>
        <w:t>參考讀物：</w:t>
      </w:r>
    </w:p>
    <w:p w:rsidR="00FA4885" w:rsidRDefault="00FA4885" w:rsidP="00FA4885">
      <w:pPr>
        <w:numPr>
          <w:ilvl w:val="0"/>
          <w:numId w:val="27"/>
        </w:numPr>
        <w:jc w:val="both"/>
        <w:rPr>
          <w:rFonts w:eastAsia="標楷體"/>
          <w:color w:val="000000"/>
        </w:rPr>
      </w:pPr>
      <w:r w:rsidRPr="00C801F0">
        <w:rPr>
          <w:rFonts w:eastAsia="標楷體"/>
          <w:color w:val="000000"/>
        </w:rPr>
        <w:t xml:space="preserve">Thomas </w:t>
      </w:r>
      <w:proofErr w:type="spellStart"/>
      <w:r w:rsidRPr="00C801F0">
        <w:rPr>
          <w:rFonts w:eastAsia="標楷體"/>
          <w:color w:val="000000"/>
        </w:rPr>
        <w:t>Szasz</w:t>
      </w:r>
      <w:proofErr w:type="spellEnd"/>
      <w:r w:rsidRPr="00C801F0">
        <w:rPr>
          <w:rFonts w:eastAsia="標楷體"/>
          <w:color w:val="000000"/>
        </w:rPr>
        <w:t>, The Case against Suicide Prevention, American Psychologist, 1986, 41: 806-812.</w:t>
      </w:r>
      <w:r w:rsidRPr="00C801F0">
        <w:rPr>
          <w:rFonts w:eastAsia="標楷體" w:hint="eastAsia"/>
          <w:color w:val="000000"/>
        </w:rPr>
        <w:t xml:space="preserve"> </w:t>
      </w:r>
      <w:r w:rsidRPr="00C801F0">
        <w:rPr>
          <w:rFonts w:eastAsia="標楷體" w:hint="eastAsia"/>
          <w:color w:val="000000"/>
        </w:rPr>
        <w:t>（必讀）</w:t>
      </w:r>
    </w:p>
    <w:p w:rsidR="00FA4885" w:rsidRPr="007D37C0" w:rsidRDefault="00FA4885" w:rsidP="00FA4885">
      <w:pPr>
        <w:numPr>
          <w:ilvl w:val="0"/>
          <w:numId w:val="27"/>
        </w:numPr>
        <w:jc w:val="both"/>
        <w:rPr>
          <w:rFonts w:eastAsia="標楷體"/>
          <w:color w:val="000000"/>
        </w:rPr>
      </w:pPr>
      <w:r w:rsidRPr="007D37C0">
        <w:rPr>
          <w:rFonts w:eastAsia="標楷體"/>
          <w:color w:val="000000"/>
        </w:rPr>
        <w:t xml:space="preserve">Paul S. </w:t>
      </w:r>
      <w:proofErr w:type="spellStart"/>
      <w:r w:rsidRPr="007D37C0">
        <w:rPr>
          <w:rFonts w:eastAsia="標楷體"/>
          <w:color w:val="000000"/>
        </w:rPr>
        <w:t>Appelbaum</w:t>
      </w:r>
      <w:proofErr w:type="spellEnd"/>
      <w:r w:rsidRPr="007D37C0">
        <w:rPr>
          <w:rFonts w:eastAsia="標楷體"/>
          <w:color w:val="000000"/>
        </w:rPr>
        <w:t>, Patients’ Responsibility for Their Own Suicidal Behavior, Psychiatric Services, 2000, 51(1): 15-16.</w:t>
      </w:r>
      <w:r>
        <w:rPr>
          <w:rFonts w:eastAsia="標楷體" w:hint="eastAsia"/>
          <w:color w:val="000000"/>
        </w:rPr>
        <w:t xml:space="preserve"> </w:t>
      </w:r>
      <w:r>
        <w:rPr>
          <w:rFonts w:eastAsia="標楷體" w:hint="eastAsia"/>
          <w:color w:val="000000"/>
        </w:rPr>
        <w:t>（必讀）</w:t>
      </w:r>
    </w:p>
    <w:p w:rsidR="00FA4885" w:rsidRDefault="00FA4885" w:rsidP="00FA4885">
      <w:pPr>
        <w:numPr>
          <w:ilvl w:val="0"/>
          <w:numId w:val="27"/>
        </w:numPr>
        <w:jc w:val="both"/>
        <w:rPr>
          <w:rFonts w:eastAsia="標楷體"/>
          <w:color w:val="000000"/>
        </w:rPr>
      </w:pPr>
      <w:r w:rsidRPr="00FA4885">
        <w:rPr>
          <w:rFonts w:eastAsia="標楷體"/>
          <w:color w:val="000000"/>
        </w:rPr>
        <w:t>Eliot Marshall, Antidepressant and Children: Buried Data Can Be Hazardous to a Company</w:t>
      </w:r>
      <w:proofErr w:type="gramStart"/>
      <w:r w:rsidRPr="00FA4885">
        <w:rPr>
          <w:rFonts w:eastAsia="標楷體"/>
          <w:color w:val="000000"/>
        </w:rPr>
        <w:t>’</w:t>
      </w:r>
      <w:proofErr w:type="gramEnd"/>
      <w:r w:rsidRPr="00FA4885">
        <w:rPr>
          <w:rFonts w:eastAsia="標楷體"/>
          <w:color w:val="000000"/>
        </w:rPr>
        <w:t>s Health, Science, 2004, 304: 1576-1577.</w:t>
      </w:r>
      <w:r w:rsidRPr="00FA4885">
        <w:rPr>
          <w:rFonts w:eastAsia="標楷體" w:hint="eastAsia"/>
          <w:color w:val="000000"/>
        </w:rPr>
        <w:t xml:space="preserve"> </w:t>
      </w:r>
      <w:r w:rsidRPr="00FA4885">
        <w:rPr>
          <w:rFonts w:eastAsia="標楷體" w:hint="eastAsia"/>
          <w:color w:val="000000"/>
        </w:rPr>
        <w:t>（必讀）</w:t>
      </w:r>
    </w:p>
    <w:p w:rsidR="00E42B93" w:rsidRPr="00FA4885" w:rsidRDefault="00FA4885" w:rsidP="00FA4885">
      <w:pPr>
        <w:numPr>
          <w:ilvl w:val="0"/>
          <w:numId w:val="27"/>
        </w:numPr>
        <w:jc w:val="both"/>
        <w:rPr>
          <w:rFonts w:eastAsia="標楷體"/>
          <w:color w:val="000000"/>
        </w:rPr>
      </w:pPr>
      <w:r w:rsidRPr="00FA4885">
        <w:rPr>
          <w:rFonts w:eastAsia="標楷體" w:hint="eastAsia"/>
          <w:color w:val="000000"/>
        </w:rPr>
        <w:t>吳建昌、陳映燁、李明濱，自殺與自殺防治之倫理分析，醫學教育，</w:t>
      </w:r>
      <w:r w:rsidRPr="00FA4885">
        <w:rPr>
          <w:rFonts w:eastAsia="標楷體" w:hint="eastAsia"/>
          <w:color w:val="000000"/>
        </w:rPr>
        <w:t>2007, 11</w:t>
      </w:r>
      <w:r w:rsidRPr="00FA4885">
        <w:rPr>
          <w:rFonts w:eastAsia="標楷體" w:hint="eastAsia"/>
          <w:color w:val="000000"/>
        </w:rPr>
        <w:t>（</w:t>
      </w:r>
      <w:r w:rsidRPr="00FA4885">
        <w:rPr>
          <w:rFonts w:eastAsia="標楷體" w:hint="eastAsia"/>
          <w:color w:val="000000"/>
        </w:rPr>
        <w:t>3</w:t>
      </w:r>
      <w:r w:rsidRPr="00FA4885">
        <w:rPr>
          <w:rFonts w:eastAsia="標楷體" w:hint="eastAsia"/>
          <w:color w:val="000000"/>
        </w:rPr>
        <w:t>）：</w:t>
      </w:r>
      <w:r w:rsidRPr="00FA4885">
        <w:rPr>
          <w:rFonts w:eastAsia="標楷體" w:hint="eastAsia"/>
          <w:color w:val="000000"/>
        </w:rPr>
        <w:t xml:space="preserve">95-103. </w:t>
      </w:r>
      <w:r w:rsidRPr="00FA4885">
        <w:rPr>
          <w:rFonts w:eastAsia="標楷體" w:hint="eastAsia"/>
          <w:color w:val="000000"/>
        </w:rPr>
        <w:t>（必讀）</w:t>
      </w:r>
    </w:p>
    <w:p w:rsidR="00FA4885" w:rsidRDefault="00FA4885" w:rsidP="00FA4885">
      <w:pPr>
        <w:rPr>
          <w:rFonts w:eastAsia="標楷體" w:hAnsi="標楷體"/>
          <w:color w:val="000000"/>
        </w:rPr>
      </w:pPr>
    </w:p>
    <w:p w:rsidR="00E42B93" w:rsidRDefault="00E42B93" w:rsidP="00852107">
      <w:pPr>
        <w:adjustRightInd w:val="0"/>
        <w:snapToGrid w:val="0"/>
        <w:rPr>
          <w:rFonts w:eastAsia="標楷體" w:hAnsi="標楷體"/>
          <w:b/>
          <w:color w:val="000000"/>
        </w:rPr>
      </w:pPr>
      <w:r w:rsidRPr="00E42B93">
        <w:rPr>
          <w:rFonts w:eastAsia="標楷體" w:hAnsi="標楷體" w:hint="eastAsia"/>
          <w:b/>
          <w:color w:val="000000"/>
        </w:rPr>
        <w:t>第十一</w:t>
      </w:r>
      <w:proofErr w:type="gramStart"/>
      <w:r w:rsidRPr="00E42B93">
        <w:rPr>
          <w:rFonts w:eastAsia="標楷體" w:hAnsi="標楷體" w:hint="eastAsia"/>
          <w:b/>
          <w:color w:val="000000"/>
        </w:rPr>
        <w:t>週</w:t>
      </w:r>
      <w:proofErr w:type="gramEnd"/>
      <w:r w:rsidRPr="00E42B93">
        <w:rPr>
          <w:rFonts w:eastAsia="標楷體" w:hAnsi="標楷體" w:hint="eastAsia"/>
          <w:b/>
          <w:color w:val="000000"/>
        </w:rPr>
        <w:t>（</w:t>
      </w:r>
      <w:r w:rsidR="00FD5989">
        <w:rPr>
          <w:rFonts w:eastAsia="標楷體" w:hAnsi="標楷體" w:hint="eastAsia"/>
          <w:b/>
          <w:color w:val="000000"/>
        </w:rPr>
        <w:t>11</w:t>
      </w:r>
      <w:r w:rsidRPr="00E42B93">
        <w:rPr>
          <w:rFonts w:eastAsia="標楷體" w:hAnsi="標楷體" w:hint="eastAsia"/>
          <w:b/>
          <w:color w:val="000000"/>
        </w:rPr>
        <w:t>/</w:t>
      </w:r>
      <w:r w:rsidR="00FD5989">
        <w:rPr>
          <w:rFonts w:eastAsia="標楷體" w:hAnsi="標楷體" w:hint="eastAsia"/>
          <w:b/>
          <w:color w:val="000000"/>
        </w:rPr>
        <w:t>23</w:t>
      </w:r>
      <w:r w:rsidRPr="00E42B93">
        <w:rPr>
          <w:rFonts w:eastAsia="標楷體" w:hAnsi="標楷體" w:hint="eastAsia"/>
          <w:b/>
          <w:color w:val="000000"/>
        </w:rPr>
        <w:t>）</w:t>
      </w:r>
      <w:r w:rsidR="00176DA1">
        <w:rPr>
          <w:rFonts w:eastAsia="標楷體" w:hAnsi="標楷體" w:hint="eastAsia"/>
          <w:b/>
          <w:color w:val="000000"/>
        </w:rPr>
        <w:t>：</w:t>
      </w:r>
      <w:r w:rsidR="00176DA1">
        <w:rPr>
          <w:rFonts w:eastAsia="標楷體" w:hAnsi="標楷體" w:hint="eastAsia"/>
          <w:b/>
          <w:color w:val="000000"/>
        </w:rPr>
        <w:t>3</w:t>
      </w:r>
      <w:r w:rsidR="00176DA1">
        <w:rPr>
          <w:rFonts w:eastAsia="標楷體" w:hAnsi="標楷體" w:hint="eastAsia"/>
          <w:b/>
          <w:color w:val="000000"/>
        </w:rPr>
        <w:t>小時</w:t>
      </w:r>
    </w:p>
    <w:p w:rsidR="00FA4885" w:rsidRPr="007D37C0" w:rsidRDefault="00FA4885" w:rsidP="00FA4885">
      <w:pPr>
        <w:jc w:val="both"/>
        <w:rPr>
          <w:rFonts w:eastAsia="標楷體"/>
          <w:color w:val="000000"/>
        </w:rPr>
      </w:pPr>
      <w:r w:rsidRPr="007D37C0">
        <w:rPr>
          <w:rFonts w:eastAsia="標楷體" w:hAnsi="標楷體"/>
          <w:i/>
          <w:color w:val="000000"/>
        </w:rPr>
        <w:t>案例：</w:t>
      </w:r>
      <w:r w:rsidRPr="007161EE">
        <w:rPr>
          <w:rFonts w:ascii="標楷體" w:eastAsia="標楷體" w:hAnsi="標楷體"/>
          <w:bCs/>
        </w:rPr>
        <w:t>臺灣高等法院臺中分院</w:t>
      </w:r>
      <w:r w:rsidRPr="007161EE">
        <w:rPr>
          <w:rFonts w:ascii="標楷體" w:eastAsia="標楷體" w:hAnsi="標楷體"/>
        </w:rPr>
        <w:t>97,重上更(</w:t>
      </w:r>
      <w:proofErr w:type="gramStart"/>
      <w:r w:rsidRPr="007161EE">
        <w:rPr>
          <w:rFonts w:ascii="標楷體" w:eastAsia="標楷體" w:hAnsi="標楷體"/>
        </w:rPr>
        <w:t>一</w:t>
      </w:r>
      <w:proofErr w:type="gramEnd"/>
      <w:r w:rsidRPr="007161EE">
        <w:rPr>
          <w:rFonts w:ascii="標楷體" w:eastAsia="標楷體" w:hAnsi="標楷體"/>
        </w:rPr>
        <w:t>),13</w:t>
      </w:r>
    </w:p>
    <w:p w:rsidR="00FA4885" w:rsidRPr="007D37C0" w:rsidRDefault="00FA4885" w:rsidP="00FA4885">
      <w:pPr>
        <w:jc w:val="both"/>
        <w:rPr>
          <w:rFonts w:eastAsia="標楷體"/>
          <w:i/>
          <w:color w:val="000000"/>
        </w:rPr>
      </w:pPr>
      <w:r w:rsidRPr="007D37C0">
        <w:rPr>
          <w:rFonts w:eastAsia="標楷體" w:hAnsi="標楷體"/>
          <w:i/>
          <w:color w:val="000000"/>
        </w:rPr>
        <w:t>問題：</w:t>
      </w:r>
      <w:r>
        <w:rPr>
          <w:rFonts w:eastAsia="標楷體" w:hAnsi="標楷體" w:hint="eastAsia"/>
          <w:color w:val="000000"/>
        </w:rPr>
        <w:t>台灣目前民法意思能力與行為能力之規定足夠處理失智者所面臨之自主性問題嗎</w:t>
      </w:r>
      <w:r w:rsidRPr="007D37C0">
        <w:rPr>
          <w:rFonts w:eastAsia="標楷體" w:hAnsi="標楷體"/>
          <w:color w:val="000000"/>
        </w:rPr>
        <w:t>？</w:t>
      </w:r>
    </w:p>
    <w:p w:rsidR="00FA4885" w:rsidRPr="007D37C0" w:rsidRDefault="00FA4885" w:rsidP="00FA4885">
      <w:pPr>
        <w:jc w:val="both"/>
        <w:rPr>
          <w:rFonts w:eastAsia="標楷體"/>
          <w:color w:val="000000"/>
        </w:rPr>
      </w:pPr>
      <w:r w:rsidRPr="007D37C0">
        <w:rPr>
          <w:rFonts w:eastAsia="標楷體" w:hAnsi="標楷體"/>
          <w:color w:val="000000"/>
        </w:rPr>
        <w:t>參考讀物：</w:t>
      </w:r>
    </w:p>
    <w:p w:rsidR="00FA4885" w:rsidRPr="00FA4885" w:rsidRDefault="00FA4885" w:rsidP="00FA4885">
      <w:pPr>
        <w:numPr>
          <w:ilvl w:val="0"/>
          <w:numId w:val="2"/>
        </w:numPr>
        <w:tabs>
          <w:tab w:val="num" w:pos="540"/>
        </w:tabs>
        <w:snapToGrid w:val="0"/>
        <w:rPr>
          <w:rFonts w:eastAsia="標楷體" w:hAnsi="標楷體"/>
          <w:color w:val="000000"/>
        </w:rPr>
      </w:pPr>
      <w:r w:rsidRPr="00FA4885">
        <w:rPr>
          <w:rFonts w:eastAsia="標楷體" w:hint="eastAsia"/>
          <w:b/>
        </w:rPr>
        <w:t xml:space="preserve">Wu KCC </w:t>
      </w:r>
      <w:r w:rsidRPr="00FA4885">
        <w:rPr>
          <w:rFonts w:eastAsia="標楷體" w:hint="eastAsia"/>
        </w:rPr>
        <w:t xml:space="preserve">and </w:t>
      </w:r>
      <w:r w:rsidRPr="00FA4885">
        <w:rPr>
          <w:rFonts w:eastAsia="標楷體" w:hint="eastAsia"/>
          <w:u w:val="single"/>
        </w:rPr>
        <w:t>Lee MB</w:t>
      </w:r>
      <w:r w:rsidRPr="00FA4885">
        <w:rPr>
          <w:rFonts w:eastAsia="標楷體" w:hint="eastAsia"/>
        </w:rPr>
        <w:t xml:space="preserve">, </w:t>
      </w:r>
      <w:r w:rsidRPr="00196F6E">
        <w:rPr>
          <w:rFonts w:hint="eastAsia"/>
        </w:rPr>
        <w:t>Patients</w:t>
      </w:r>
      <w:proofErr w:type="gramStart"/>
      <w:r w:rsidRPr="00196F6E">
        <w:t>’</w:t>
      </w:r>
      <w:proofErr w:type="gramEnd"/>
      <w:r w:rsidRPr="00196F6E">
        <w:rPr>
          <w:rFonts w:hint="eastAsia"/>
        </w:rPr>
        <w:t xml:space="preserve"> Legal Competence to make treatment decisions</w:t>
      </w:r>
      <w:r>
        <w:rPr>
          <w:rFonts w:hint="eastAsia"/>
        </w:rPr>
        <w:t>, Journal of Medical Education (Taiwan)</w:t>
      </w:r>
      <w:r w:rsidRPr="00FA4885">
        <w:rPr>
          <w:rFonts w:ascii="標楷體" w:eastAsia="標楷體" w:hAnsi="標楷體" w:hint="eastAsia"/>
        </w:rPr>
        <w:t>（醫學教育）</w:t>
      </w:r>
      <w:r>
        <w:rPr>
          <w:rFonts w:hint="eastAsia"/>
        </w:rPr>
        <w:t xml:space="preserve"> (Accepted)</w:t>
      </w:r>
      <w:r w:rsidR="00A14C12">
        <w:rPr>
          <w:rFonts w:hint="eastAsia"/>
        </w:rPr>
        <w:t xml:space="preserve"> </w:t>
      </w:r>
      <w:r w:rsidR="00A14C12" w:rsidRPr="00A14C12">
        <w:rPr>
          <w:rFonts w:ascii="標楷體" w:eastAsia="標楷體" w:hAnsi="標楷體" w:hint="eastAsia"/>
        </w:rPr>
        <w:t>（必讀）</w:t>
      </w:r>
    </w:p>
    <w:p w:rsidR="00FA4885" w:rsidRPr="00F56992" w:rsidRDefault="00FA4885" w:rsidP="00FA4885">
      <w:pPr>
        <w:numPr>
          <w:ilvl w:val="0"/>
          <w:numId w:val="2"/>
        </w:numPr>
        <w:rPr>
          <w:rFonts w:eastAsia="標楷體" w:hAnsi="標楷體"/>
          <w:color w:val="000000"/>
        </w:rPr>
      </w:pPr>
      <w:r>
        <w:rPr>
          <w:rFonts w:eastAsia="標楷體" w:hint="eastAsia"/>
          <w:color w:val="000000"/>
        </w:rPr>
        <w:t xml:space="preserve">Bart J </w:t>
      </w:r>
      <w:proofErr w:type="spellStart"/>
      <w:r>
        <w:rPr>
          <w:rFonts w:eastAsia="標楷體" w:hint="eastAsia"/>
          <w:color w:val="000000"/>
        </w:rPr>
        <w:t>Collopy</w:t>
      </w:r>
      <w:proofErr w:type="spellEnd"/>
      <w:r>
        <w:rPr>
          <w:rFonts w:eastAsia="標楷體" w:hint="eastAsia"/>
          <w:color w:val="000000"/>
        </w:rPr>
        <w:t xml:space="preserve">, Autonomy in </w:t>
      </w:r>
      <w:r>
        <w:rPr>
          <w:rFonts w:eastAsia="標楷體"/>
          <w:color w:val="000000"/>
        </w:rPr>
        <w:t>the</w:t>
      </w:r>
      <w:r>
        <w:rPr>
          <w:rFonts w:eastAsia="標楷體" w:hint="eastAsia"/>
          <w:color w:val="000000"/>
        </w:rPr>
        <w:t xml:space="preserve"> long-term care: Some crucial distinctions, Gerontologist, 1988, 28: 10-17.</w:t>
      </w:r>
      <w:r>
        <w:rPr>
          <w:rFonts w:eastAsia="標楷體" w:hint="eastAsia"/>
          <w:color w:val="000000"/>
        </w:rPr>
        <w:t>（必讀）</w:t>
      </w:r>
    </w:p>
    <w:p w:rsidR="00DB3178" w:rsidRPr="00FA4885" w:rsidRDefault="00FA4885" w:rsidP="00FA4885">
      <w:pPr>
        <w:numPr>
          <w:ilvl w:val="0"/>
          <w:numId w:val="2"/>
        </w:numPr>
        <w:adjustRightInd w:val="0"/>
        <w:snapToGrid w:val="0"/>
        <w:jc w:val="both"/>
        <w:rPr>
          <w:rFonts w:eastAsia="標楷體"/>
          <w:color w:val="000000"/>
        </w:rPr>
      </w:pPr>
      <w:r w:rsidRPr="00FA4885">
        <w:rPr>
          <w:rFonts w:eastAsia="標楷體" w:hint="eastAsia"/>
          <w:color w:val="000000"/>
        </w:rPr>
        <w:t>台灣民法第</w:t>
      </w:r>
      <w:r w:rsidRPr="00FA4885">
        <w:rPr>
          <w:rFonts w:eastAsia="標楷體" w:hint="eastAsia"/>
          <w:color w:val="000000"/>
        </w:rPr>
        <w:t>14</w:t>
      </w:r>
      <w:r w:rsidRPr="00FA4885">
        <w:rPr>
          <w:rFonts w:eastAsia="標楷體" w:hint="eastAsia"/>
          <w:color w:val="000000"/>
        </w:rPr>
        <w:t>條至第</w:t>
      </w:r>
      <w:r w:rsidRPr="00FA4885">
        <w:rPr>
          <w:rFonts w:eastAsia="標楷體" w:hint="eastAsia"/>
          <w:color w:val="000000"/>
        </w:rPr>
        <w:t>15-2</w:t>
      </w:r>
      <w:r w:rsidRPr="00FA4885">
        <w:rPr>
          <w:rFonts w:eastAsia="標楷體" w:hint="eastAsia"/>
          <w:color w:val="000000"/>
        </w:rPr>
        <w:t>條、第</w:t>
      </w:r>
      <w:r w:rsidRPr="00FA4885">
        <w:rPr>
          <w:rFonts w:eastAsia="標楷體" w:hint="eastAsia"/>
          <w:color w:val="000000"/>
        </w:rPr>
        <w:t>75</w:t>
      </w:r>
      <w:r w:rsidRPr="00FA4885">
        <w:rPr>
          <w:rFonts w:eastAsia="標楷體" w:hint="eastAsia"/>
          <w:color w:val="000000"/>
        </w:rPr>
        <w:t>條、第四編親屬第四章監護第二節</w:t>
      </w:r>
      <w:r w:rsidRPr="00FA4885">
        <w:rPr>
          <w:rFonts w:ascii="標楷體" w:eastAsia="標楷體" w:hAnsi="標楷體" w:hint="eastAsia"/>
        </w:rPr>
        <w:t>成年人之監護及輔助</w:t>
      </w:r>
      <w:r w:rsidRPr="00FA4885">
        <w:rPr>
          <w:rFonts w:eastAsia="標楷體" w:hint="eastAsia"/>
          <w:color w:val="000000"/>
        </w:rPr>
        <w:t>（必讀）</w:t>
      </w:r>
    </w:p>
    <w:p w:rsidR="0082614E" w:rsidRPr="00DB3178" w:rsidRDefault="0082614E" w:rsidP="0082614E">
      <w:pPr>
        <w:rPr>
          <w:rFonts w:eastAsia="標楷體" w:hAnsi="標楷體"/>
          <w:color w:val="000000"/>
        </w:rPr>
      </w:pPr>
    </w:p>
    <w:p w:rsidR="0082614E" w:rsidRDefault="00A17EA2" w:rsidP="0082614E">
      <w:pPr>
        <w:rPr>
          <w:rFonts w:eastAsia="標楷體" w:hAnsi="標楷體"/>
          <w:color w:val="000000"/>
        </w:rPr>
      </w:pPr>
      <w:r w:rsidRPr="007D37C0">
        <w:rPr>
          <w:rFonts w:eastAsia="標楷體" w:hAnsi="標楷體"/>
          <w:b/>
          <w:color w:val="000000"/>
        </w:rPr>
        <w:lastRenderedPageBreak/>
        <w:t>第十</w:t>
      </w:r>
      <w:r>
        <w:rPr>
          <w:rFonts w:eastAsia="標楷體" w:hAnsi="標楷體" w:hint="eastAsia"/>
          <w:b/>
          <w:color w:val="000000"/>
        </w:rPr>
        <w:t>二</w:t>
      </w:r>
      <w:proofErr w:type="gramStart"/>
      <w:r w:rsidRPr="007D37C0">
        <w:rPr>
          <w:rFonts w:eastAsia="標楷體" w:hAnsi="標楷體"/>
          <w:b/>
          <w:color w:val="000000"/>
        </w:rPr>
        <w:t>週</w:t>
      </w:r>
      <w:proofErr w:type="gramEnd"/>
      <w:r w:rsidRPr="007D37C0">
        <w:rPr>
          <w:rFonts w:eastAsia="標楷體" w:hAnsi="標楷體"/>
          <w:b/>
          <w:color w:val="000000"/>
        </w:rPr>
        <w:t>（</w:t>
      </w:r>
      <w:r w:rsidR="00FD5989">
        <w:rPr>
          <w:rFonts w:eastAsia="標楷體" w:hAnsi="標楷體" w:hint="eastAsia"/>
          <w:b/>
          <w:color w:val="000000"/>
        </w:rPr>
        <w:t>11</w:t>
      </w:r>
      <w:r w:rsidRPr="007D37C0">
        <w:rPr>
          <w:rFonts w:eastAsia="標楷體"/>
          <w:b/>
          <w:color w:val="000000"/>
        </w:rPr>
        <w:t>/</w:t>
      </w:r>
      <w:r w:rsidR="00FD5989">
        <w:rPr>
          <w:rFonts w:eastAsia="標楷體" w:hint="eastAsia"/>
          <w:b/>
          <w:color w:val="000000"/>
        </w:rPr>
        <w:t>30</w:t>
      </w:r>
      <w:r w:rsidRPr="007D37C0">
        <w:rPr>
          <w:rFonts w:eastAsia="標楷體" w:hAnsi="標楷體"/>
          <w:b/>
          <w:color w:val="000000"/>
        </w:rPr>
        <w:t>）：</w:t>
      </w:r>
      <w:r w:rsidR="00176DA1">
        <w:rPr>
          <w:rFonts w:eastAsia="標楷體" w:hAnsi="標楷體" w:hint="eastAsia"/>
          <w:color w:val="000000"/>
        </w:rPr>
        <w:t>3</w:t>
      </w:r>
      <w:r w:rsidR="00176DA1">
        <w:rPr>
          <w:rFonts w:eastAsia="標楷體" w:hAnsi="標楷體" w:hint="eastAsia"/>
          <w:color w:val="000000"/>
        </w:rPr>
        <w:t>小時</w:t>
      </w:r>
    </w:p>
    <w:p w:rsidR="00E306B1" w:rsidRPr="007D37C0" w:rsidRDefault="00E306B1" w:rsidP="00E306B1">
      <w:pPr>
        <w:jc w:val="both"/>
        <w:rPr>
          <w:rFonts w:eastAsia="標楷體"/>
          <w:color w:val="000000"/>
        </w:rPr>
      </w:pPr>
      <w:r w:rsidRPr="007D37C0">
        <w:rPr>
          <w:rFonts w:eastAsia="標楷體" w:hAnsi="標楷體"/>
          <w:i/>
          <w:color w:val="000000"/>
        </w:rPr>
        <w:t>案例：</w:t>
      </w:r>
      <w:r w:rsidRPr="007D37C0">
        <w:rPr>
          <w:rFonts w:eastAsia="標楷體"/>
          <w:color w:val="000000"/>
        </w:rPr>
        <w:t>A poor recovering, still bedridden, 76-year-old stroke patient, contracts pneumonia…</w:t>
      </w:r>
      <w:proofErr w:type="gramStart"/>
      <w:r w:rsidRPr="007D37C0">
        <w:rPr>
          <w:rFonts w:eastAsia="標楷體"/>
          <w:color w:val="000000"/>
        </w:rPr>
        <w:t>…</w:t>
      </w:r>
      <w:r w:rsidRPr="007D37C0">
        <w:rPr>
          <w:rFonts w:eastAsia="標楷體" w:hAnsi="標楷體"/>
          <w:color w:val="000000"/>
        </w:rPr>
        <w:t>（</w:t>
      </w:r>
      <w:proofErr w:type="gramEnd"/>
      <w:r w:rsidRPr="007D37C0">
        <w:rPr>
          <w:rFonts w:eastAsia="標楷體" w:hAnsi="標楷體"/>
          <w:color w:val="000000"/>
        </w:rPr>
        <w:t>見</w:t>
      </w:r>
      <w:r w:rsidRPr="007D37C0">
        <w:rPr>
          <w:rFonts w:eastAsia="標楷體"/>
          <w:color w:val="000000"/>
        </w:rPr>
        <w:t xml:space="preserve"> Ian </w:t>
      </w:r>
      <w:proofErr w:type="spellStart"/>
      <w:r w:rsidRPr="007D37C0">
        <w:rPr>
          <w:rFonts w:eastAsia="標楷體"/>
          <w:color w:val="000000"/>
        </w:rPr>
        <w:t>Wilks</w:t>
      </w:r>
      <w:proofErr w:type="spellEnd"/>
      <w:r w:rsidRPr="007D37C0">
        <w:rPr>
          <w:rFonts w:eastAsia="標楷體"/>
          <w:color w:val="000000"/>
        </w:rPr>
        <w:t xml:space="preserve"> </w:t>
      </w:r>
      <w:r w:rsidRPr="007D37C0">
        <w:rPr>
          <w:rFonts w:eastAsia="標楷體" w:hAnsi="標楷體"/>
          <w:color w:val="000000"/>
        </w:rPr>
        <w:t>文章第</w:t>
      </w:r>
      <w:r w:rsidRPr="007D37C0">
        <w:rPr>
          <w:rFonts w:eastAsia="標楷體"/>
          <w:color w:val="000000"/>
        </w:rPr>
        <w:t>1</w:t>
      </w:r>
      <w:r w:rsidRPr="007D37C0">
        <w:rPr>
          <w:rFonts w:eastAsia="標楷體" w:hAnsi="標楷體"/>
          <w:color w:val="000000"/>
        </w:rPr>
        <w:t>頁。）</w:t>
      </w:r>
    </w:p>
    <w:p w:rsidR="00E306B1" w:rsidRPr="007D37C0" w:rsidRDefault="00E306B1" w:rsidP="00E306B1">
      <w:pPr>
        <w:jc w:val="both"/>
        <w:rPr>
          <w:rFonts w:eastAsia="標楷體"/>
          <w:i/>
          <w:color w:val="000000"/>
        </w:rPr>
      </w:pPr>
      <w:r w:rsidRPr="007D37C0">
        <w:rPr>
          <w:rFonts w:eastAsia="標楷體" w:hAnsi="標楷體"/>
          <w:i/>
          <w:color w:val="000000"/>
        </w:rPr>
        <w:t>問題：</w:t>
      </w:r>
      <w:r>
        <w:rPr>
          <w:rFonts w:eastAsia="標楷體" w:hAnsi="標楷體" w:hint="eastAsia"/>
          <w:color w:val="000000"/>
        </w:rPr>
        <w:t>意思</w:t>
      </w:r>
      <w:r w:rsidRPr="007D37C0">
        <w:rPr>
          <w:rFonts w:eastAsia="標楷體" w:hAnsi="標楷體"/>
          <w:color w:val="000000"/>
        </w:rPr>
        <w:t>能力之實質標準需要依照個人決定之風險程度而調整嗎？</w:t>
      </w:r>
    </w:p>
    <w:p w:rsidR="00E306B1" w:rsidRPr="007D37C0" w:rsidRDefault="00E306B1" w:rsidP="00E306B1">
      <w:pPr>
        <w:jc w:val="both"/>
        <w:rPr>
          <w:rFonts w:eastAsia="標楷體"/>
          <w:color w:val="000000"/>
        </w:rPr>
      </w:pPr>
      <w:r w:rsidRPr="007D37C0">
        <w:rPr>
          <w:rFonts w:eastAsia="標楷體" w:hAnsi="標楷體"/>
          <w:color w:val="000000"/>
        </w:rPr>
        <w:t>參考讀物：</w:t>
      </w:r>
    </w:p>
    <w:p w:rsidR="00E306B1" w:rsidRPr="007D37C0" w:rsidRDefault="00E306B1" w:rsidP="00E306B1">
      <w:pPr>
        <w:numPr>
          <w:ilvl w:val="0"/>
          <w:numId w:val="25"/>
        </w:numPr>
        <w:jc w:val="both"/>
        <w:rPr>
          <w:rFonts w:eastAsia="標楷體"/>
          <w:color w:val="000000"/>
        </w:rPr>
      </w:pPr>
      <w:r w:rsidRPr="007D37C0">
        <w:rPr>
          <w:rFonts w:eastAsia="標楷體"/>
          <w:color w:val="000000"/>
        </w:rPr>
        <w:t>Allen Buchanan and Dan W. Brock, Deciding for Others, The Milbank Quarterly, 1986, 64, Suppl.2: 17-94.</w:t>
      </w:r>
      <w:r w:rsidRPr="007D37C0">
        <w:rPr>
          <w:rFonts w:eastAsia="標楷體"/>
          <w:color w:val="000000"/>
        </w:rPr>
        <w:t>（請閱讀頁</w:t>
      </w:r>
      <w:r w:rsidRPr="007D37C0">
        <w:rPr>
          <w:rFonts w:eastAsia="標楷體"/>
          <w:color w:val="000000"/>
        </w:rPr>
        <w:t>17-41.</w:t>
      </w:r>
      <w:r w:rsidRPr="007D37C0">
        <w:rPr>
          <w:rFonts w:eastAsia="標楷體"/>
          <w:color w:val="000000"/>
        </w:rPr>
        <w:t>）</w:t>
      </w:r>
      <w:r>
        <w:rPr>
          <w:rFonts w:eastAsia="標楷體" w:hint="eastAsia"/>
          <w:color w:val="000000"/>
        </w:rPr>
        <w:t>（必讀）</w:t>
      </w:r>
    </w:p>
    <w:p w:rsidR="00E306B1" w:rsidRDefault="00E306B1" w:rsidP="00E306B1">
      <w:pPr>
        <w:numPr>
          <w:ilvl w:val="0"/>
          <w:numId w:val="25"/>
        </w:numPr>
        <w:jc w:val="both"/>
        <w:rPr>
          <w:rFonts w:eastAsia="標楷體"/>
          <w:color w:val="000000"/>
        </w:rPr>
      </w:pPr>
      <w:r w:rsidRPr="0082614E">
        <w:rPr>
          <w:rFonts w:eastAsia="標楷體"/>
          <w:color w:val="000000"/>
        </w:rPr>
        <w:t xml:space="preserve">Ian </w:t>
      </w:r>
      <w:proofErr w:type="spellStart"/>
      <w:r w:rsidRPr="0082614E">
        <w:rPr>
          <w:rFonts w:eastAsia="標楷體"/>
          <w:color w:val="000000"/>
        </w:rPr>
        <w:t>Wilks</w:t>
      </w:r>
      <w:proofErr w:type="spellEnd"/>
      <w:r w:rsidRPr="0082614E">
        <w:rPr>
          <w:rFonts w:eastAsia="標楷體"/>
          <w:color w:val="000000"/>
        </w:rPr>
        <w:t>, Asymmetrical Competence, Bioethics, 1999, 13(2): 154-159.</w:t>
      </w:r>
      <w:r w:rsidRPr="0082614E">
        <w:rPr>
          <w:rFonts w:eastAsia="標楷體" w:hint="eastAsia"/>
          <w:color w:val="000000"/>
        </w:rPr>
        <w:t>（必讀）</w:t>
      </w:r>
    </w:p>
    <w:p w:rsidR="00E306B1" w:rsidRPr="0082614E" w:rsidRDefault="00E306B1" w:rsidP="00E306B1">
      <w:pPr>
        <w:numPr>
          <w:ilvl w:val="0"/>
          <w:numId w:val="25"/>
        </w:numPr>
        <w:jc w:val="both"/>
        <w:rPr>
          <w:rFonts w:eastAsia="標楷體"/>
          <w:color w:val="000000"/>
        </w:rPr>
      </w:pPr>
      <w:r w:rsidRPr="0082614E">
        <w:rPr>
          <w:rFonts w:eastAsia="標楷體"/>
          <w:color w:val="000000"/>
        </w:rPr>
        <w:t>Joseph P. Demarco, Competence and Paternalism, 2002, 16(3): 231-245.</w:t>
      </w:r>
      <w:r w:rsidRPr="0082614E">
        <w:rPr>
          <w:rFonts w:eastAsia="標楷體" w:hint="eastAsia"/>
          <w:color w:val="000000"/>
        </w:rPr>
        <w:t>（必讀）</w:t>
      </w:r>
    </w:p>
    <w:p w:rsidR="00A17EA2" w:rsidRPr="0082614E" w:rsidRDefault="00A17EA2" w:rsidP="00E306B1">
      <w:pPr>
        <w:jc w:val="both"/>
        <w:rPr>
          <w:rFonts w:eastAsia="標楷體" w:hAnsi="標楷體"/>
          <w:i/>
          <w:color w:val="000000"/>
        </w:rPr>
      </w:pPr>
    </w:p>
    <w:p w:rsidR="00A17EA2" w:rsidRDefault="00A17EA2" w:rsidP="007A7538">
      <w:pPr>
        <w:rPr>
          <w:rFonts w:eastAsia="標楷體" w:hAnsi="標楷體"/>
          <w:i/>
          <w:color w:val="000000"/>
        </w:rPr>
      </w:pPr>
    </w:p>
    <w:p w:rsidR="00A17EA2" w:rsidRPr="00FD5989" w:rsidRDefault="00A17EA2" w:rsidP="00EA7E1A">
      <w:pPr>
        <w:rPr>
          <w:rFonts w:eastAsia="標楷體" w:hAnsi="標楷體"/>
          <w:color w:val="000000"/>
        </w:rPr>
      </w:pPr>
      <w:r w:rsidRPr="005A20B2">
        <w:rPr>
          <w:rFonts w:eastAsia="標楷體" w:hAnsi="標楷體"/>
          <w:b/>
          <w:color w:val="000000"/>
        </w:rPr>
        <w:t>第十</w:t>
      </w:r>
      <w:r w:rsidRPr="005A20B2">
        <w:rPr>
          <w:rFonts w:eastAsia="標楷體" w:hAnsi="標楷體" w:hint="eastAsia"/>
          <w:b/>
          <w:color w:val="000000"/>
        </w:rPr>
        <w:t>三</w:t>
      </w:r>
      <w:proofErr w:type="gramStart"/>
      <w:r w:rsidRPr="005A20B2">
        <w:rPr>
          <w:rFonts w:eastAsia="標楷體" w:hAnsi="標楷體"/>
          <w:b/>
          <w:color w:val="000000"/>
        </w:rPr>
        <w:t>週</w:t>
      </w:r>
      <w:proofErr w:type="gramEnd"/>
      <w:r w:rsidRPr="005A20B2">
        <w:rPr>
          <w:rFonts w:eastAsia="標楷體" w:hAnsi="標楷體"/>
          <w:b/>
          <w:color w:val="000000"/>
        </w:rPr>
        <w:t>（</w:t>
      </w:r>
      <w:r w:rsidR="00FD5989">
        <w:rPr>
          <w:rFonts w:eastAsia="標楷體" w:hAnsi="標楷體" w:hint="eastAsia"/>
          <w:b/>
          <w:color w:val="000000"/>
        </w:rPr>
        <w:t>12</w:t>
      </w:r>
      <w:r w:rsidRPr="005A20B2">
        <w:rPr>
          <w:rFonts w:eastAsia="標楷體"/>
          <w:b/>
          <w:color w:val="000000"/>
        </w:rPr>
        <w:t>/</w:t>
      </w:r>
      <w:r w:rsidR="00FD5989">
        <w:rPr>
          <w:rFonts w:eastAsia="標楷體" w:hint="eastAsia"/>
          <w:b/>
          <w:color w:val="000000"/>
        </w:rPr>
        <w:t>7</w:t>
      </w:r>
      <w:r w:rsidRPr="005A20B2">
        <w:rPr>
          <w:rFonts w:eastAsia="標楷體" w:hAnsi="標楷體"/>
          <w:b/>
          <w:color w:val="000000"/>
        </w:rPr>
        <w:t>）：</w:t>
      </w:r>
      <w:r w:rsidR="00FD5989" w:rsidRPr="00FD5989">
        <w:rPr>
          <w:rFonts w:eastAsia="標楷體" w:hAnsi="標楷體" w:hint="eastAsia"/>
          <w:color w:val="000000"/>
        </w:rPr>
        <w:t>3</w:t>
      </w:r>
      <w:r w:rsidR="00FD5989" w:rsidRPr="00FD5989">
        <w:rPr>
          <w:rFonts w:eastAsia="標楷體" w:hAnsi="標楷體" w:hint="eastAsia"/>
          <w:color w:val="000000"/>
        </w:rPr>
        <w:t>小時</w:t>
      </w:r>
    </w:p>
    <w:p w:rsidR="00E306B1" w:rsidRDefault="00E306B1" w:rsidP="00E306B1">
      <w:r w:rsidRPr="007D37C0">
        <w:rPr>
          <w:rFonts w:eastAsia="標楷體" w:hAnsi="標楷體"/>
          <w:i/>
        </w:rPr>
        <w:t>案例：</w:t>
      </w:r>
      <w:r w:rsidRPr="003968B4">
        <w:rPr>
          <w:rFonts w:ascii="標楷體" w:eastAsia="標楷體" w:hAnsi="標楷體"/>
        </w:rPr>
        <w:t>秋七月，</w:t>
      </w:r>
      <w:proofErr w:type="gramStart"/>
      <w:r w:rsidRPr="003968B4">
        <w:rPr>
          <w:rFonts w:ascii="標楷體" w:eastAsia="標楷體" w:hAnsi="標楷體"/>
        </w:rPr>
        <w:t>秦桓公伐晉</w:t>
      </w:r>
      <w:proofErr w:type="gramEnd"/>
      <w:r w:rsidRPr="003968B4">
        <w:rPr>
          <w:rFonts w:ascii="標楷體" w:eastAsia="標楷體" w:hAnsi="標楷體"/>
        </w:rPr>
        <w:t>，</w:t>
      </w:r>
      <w:proofErr w:type="gramStart"/>
      <w:r w:rsidRPr="003968B4">
        <w:rPr>
          <w:rFonts w:ascii="標楷體" w:eastAsia="標楷體" w:hAnsi="標楷體"/>
        </w:rPr>
        <w:t>次於輔氏</w:t>
      </w:r>
      <w:proofErr w:type="gramEnd"/>
      <w:r w:rsidRPr="003968B4">
        <w:rPr>
          <w:rFonts w:ascii="標楷體" w:eastAsia="標楷體" w:hAnsi="標楷體"/>
        </w:rPr>
        <w:t>。壬午，</w:t>
      </w:r>
      <w:proofErr w:type="gramStart"/>
      <w:r w:rsidRPr="003968B4">
        <w:rPr>
          <w:rFonts w:ascii="標楷體" w:eastAsia="標楷體" w:hAnsi="標楷體"/>
        </w:rPr>
        <w:t>晉侯治兵</w:t>
      </w:r>
      <w:proofErr w:type="gramEnd"/>
      <w:r w:rsidRPr="003968B4">
        <w:rPr>
          <w:rFonts w:ascii="標楷體" w:eastAsia="標楷體" w:hAnsi="標楷體"/>
        </w:rPr>
        <w:t>於</w:t>
      </w:r>
      <w:proofErr w:type="gramStart"/>
      <w:r w:rsidRPr="003968B4">
        <w:rPr>
          <w:rFonts w:ascii="標楷體" w:eastAsia="標楷體" w:hAnsi="標楷體"/>
        </w:rPr>
        <w:t>稷</w:t>
      </w:r>
      <w:proofErr w:type="gramEnd"/>
      <w:r w:rsidRPr="003968B4">
        <w:rPr>
          <w:rFonts w:ascii="標楷體" w:eastAsia="標楷體" w:hAnsi="標楷體"/>
        </w:rPr>
        <w:t>以略狄土，</w:t>
      </w:r>
      <w:proofErr w:type="gramStart"/>
      <w:r w:rsidRPr="003968B4">
        <w:rPr>
          <w:rFonts w:ascii="標楷體" w:eastAsia="標楷體" w:hAnsi="標楷體"/>
        </w:rPr>
        <w:t>立黎侯而</w:t>
      </w:r>
      <w:proofErr w:type="gramEnd"/>
      <w:r w:rsidRPr="003968B4">
        <w:rPr>
          <w:rFonts w:ascii="標楷體" w:eastAsia="標楷體" w:hAnsi="標楷體"/>
        </w:rPr>
        <w:t>還。及</w:t>
      </w:r>
      <w:proofErr w:type="gramStart"/>
      <w:r w:rsidRPr="003968B4">
        <w:rPr>
          <w:rFonts w:ascii="標楷體" w:eastAsia="標楷體" w:hAnsi="標楷體"/>
        </w:rPr>
        <w:t>洛</w:t>
      </w:r>
      <w:proofErr w:type="gramEnd"/>
      <w:r w:rsidRPr="003968B4">
        <w:rPr>
          <w:rFonts w:ascii="標楷體" w:eastAsia="標楷體" w:hAnsi="標楷體"/>
        </w:rPr>
        <w:t>，魏</w:t>
      </w:r>
      <w:proofErr w:type="gramStart"/>
      <w:r w:rsidRPr="003968B4">
        <w:rPr>
          <w:rFonts w:ascii="標楷體" w:eastAsia="標楷體" w:hAnsi="標楷體"/>
        </w:rPr>
        <w:t>顆敗秦師於輔氏</w:t>
      </w:r>
      <w:proofErr w:type="gramEnd"/>
      <w:r w:rsidRPr="003968B4">
        <w:rPr>
          <w:rFonts w:ascii="標楷體" w:eastAsia="標楷體" w:hAnsi="標楷體"/>
        </w:rPr>
        <w:t>。</w:t>
      </w:r>
      <w:proofErr w:type="gramStart"/>
      <w:r w:rsidRPr="003968B4">
        <w:rPr>
          <w:rFonts w:ascii="標楷體" w:eastAsia="標楷體" w:hAnsi="標楷體"/>
        </w:rPr>
        <w:t>獲杜回</w:t>
      </w:r>
      <w:proofErr w:type="gramEnd"/>
      <w:r w:rsidRPr="003968B4">
        <w:rPr>
          <w:rFonts w:ascii="標楷體" w:eastAsia="標楷體" w:hAnsi="標楷體"/>
        </w:rPr>
        <w:t>，秦之力人也。初，魏武子有</w:t>
      </w:r>
      <w:proofErr w:type="gramStart"/>
      <w:r w:rsidRPr="003968B4">
        <w:rPr>
          <w:rFonts w:ascii="標楷體" w:eastAsia="標楷體" w:hAnsi="標楷體"/>
        </w:rPr>
        <w:t>嬖</w:t>
      </w:r>
      <w:proofErr w:type="gramEnd"/>
      <w:r w:rsidRPr="003968B4">
        <w:rPr>
          <w:rFonts w:ascii="標楷體" w:eastAsia="標楷體" w:hAnsi="標楷體"/>
        </w:rPr>
        <w:t>妾，無子。武</w:t>
      </w:r>
      <w:proofErr w:type="gramStart"/>
      <w:r w:rsidRPr="003968B4">
        <w:rPr>
          <w:rFonts w:ascii="標楷體" w:eastAsia="標楷體" w:hAnsi="標楷體"/>
        </w:rPr>
        <w:t>子疾，命顆曰</w:t>
      </w:r>
      <w:proofErr w:type="gramEnd"/>
      <w:r w:rsidRPr="003968B4">
        <w:rPr>
          <w:rFonts w:ascii="標楷體" w:eastAsia="標楷體" w:hAnsi="標楷體"/>
        </w:rPr>
        <w:t>：「</w:t>
      </w:r>
      <w:proofErr w:type="gramStart"/>
      <w:r w:rsidRPr="003968B4">
        <w:rPr>
          <w:rFonts w:ascii="標楷體" w:eastAsia="標楷體" w:hAnsi="標楷體"/>
        </w:rPr>
        <w:t>必嫁是</w:t>
      </w:r>
      <w:proofErr w:type="gramEnd"/>
      <w:r w:rsidRPr="003968B4">
        <w:rPr>
          <w:rFonts w:ascii="標楷體" w:eastAsia="標楷體" w:hAnsi="標楷體"/>
        </w:rPr>
        <w:t>。」疾病，則曰：「必以為</w:t>
      </w:r>
      <w:proofErr w:type="gramStart"/>
      <w:r w:rsidRPr="003968B4">
        <w:rPr>
          <w:rFonts w:ascii="標楷體" w:eastAsia="標楷體" w:hAnsi="標楷體"/>
        </w:rPr>
        <w:t>殉</w:t>
      </w:r>
      <w:proofErr w:type="gramEnd"/>
      <w:r w:rsidRPr="003968B4">
        <w:rPr>
          <w:rFonts w:ascii="標楷體" w:eastAsia="標楷體" w:hAnsi="標楷體"/>
        </w:rPr>
        <w:t>。」</w:t>
      </w:r>
      <w:proofErr w:type="gramStart"/>
      <w:r w:rsidRPr="003968B4">
        <w:rPr>
          <w:rFonts w:ascii="標楷體" w:eastAsia="標楷體" w:hAnsi="標楷體"/>
        </w:rPr>
        <w:t>及卒，顆嫁</w:t>
      </w:r>
      <w:proofErr w:type="gramEnd"/>
      <w:r w:rsidRPr="003968B4">
        <w:rPr>
          <w:rFonts w:ascii="標楷體" w:eastAsia="標楷體" w:hAnsi="標楷體"/>
        </w:rPr>
        <w:t>之，曰：「疾病則亂，</w:t>
      </w:r>
      <w:proofErr w:type="gramStart"/>
      <w:r w:rsidRPr="003968B4">
        <w:rPr>
          <w:rFonts w:ascii="標楷體" w:eastAsia="標楷體" w:hAnsi="標楷體"/>
        </w:rPr>
        <w:t>吾從其</w:t>
      </w:r>
      <w:proofErr w:type="gramEnd"/>
      <w:r w:rsidRPr="003968B4">
        <w:rPr>
          <w:rFonts w:ascii="標楷體" w:eastAsia="標楷體" w:hAnsi="標楷體"/>
        </w:rPr>
        <w:t>治也。」</w:t>
      </w:r>
      <w:proofErr w:type="gramStart"/>
      <w:r w:rsidRPr="003968B4">
        <w:rPr>
          <w:rFonts w:ascii="標楷體" w:eastAsia="標楷體" w:hAnsi="標楷體"/>
        </w:rPr>
        <w:t>及輔氏之</w:t>
      </w:r>
      <w:proofErr w:type="gramEnd"/>
      <w:r w:rsidRPr="003968B4">
        <w:rPr>
          <w:rFonts w:ascii="標楷體" w:eastAsia="標楷體" w:hAnsi="標楷體"/>
        </w:rPr>
        <w:t>役，</w:t>
      </w:r>
      <w:proofErr w:type="gramStart"/>
      <w:r w:rsidRPr="003968B4">
        <w:rPr>
          <w:rFonts w:ascii="標楷體" w:eastAsia="標楷體" w:hAnsi="標楷體"/>
        </w:rPr>
        <w:t>顆見老人</w:t>
      </w:r>
      <w:proofErr w:type="gramEnd"/>
      <w:r w:rsidRPr="003968B4">
        <w:rPr>
          <w:rFonts w:ascii="標楷體" w:eastAsia="標楷體" w:hAnsi="標楷體"/>
        </w:rPr>
        <w:t>結草以</w:t>
      </w:r>
      <w:proofErr w:type="gramStart"/>
      <w:r w:rsidRPr="003968B4">
        <w:rPr>
          <w:rFonts w:ascii="標楷體" w:eastAsia="標楷體" w:hAnsi="標楷體"/>
        </w:rPr>
        <w:t>亢杜回</w:t>
      </w:r>
      <w:proofErr w:type="gramEnd"/>
      <w:r w:rsidRPr="003968B4">
        <w:rPr>
          <w:rFonts w:ascii="標楷體" w:eastAsia="標楷體" w:hAnsi="標楷體"/>
        </w:rPr>
        <w:t>，杜回</w:t>
      </w:r>
      <w:proofErr w:type="gramStart"/>
      <w:r w:rsidRPr="003968B4">
        <w:rPr>
          <w:rFonts w:ascii="標楷體" w:eastAsia="標楷體" w:hAnsi="標楷體"/>
        </w:rPr>
        <w:t>躓而顛</w:t>
      </w:r>
      <w:proofErr w:type="gramEnd"/>
      <w:r w:rsidRPr="003968B4">
        <w:rPr>
          <w:rFonts w:ascii="標楷體" w:eastAsia="標楷體" w:hAnsi="標楷體"/>
        </w:rPr>
        <w:t>，故獲之。夜</w:t>
      </w:r>
      <w:proofErr w:type="gramStart"/>
      <w:r w:rsidRPr="003968B4">
        <w:rPr>
          <w:rFonts w:ascii="標楷體" w:eastAsia="標楷體" w:hAnsi="標楷體"/>
        </w:rPr>
        <w:t>夢之曰</w:t>
      </w:r>
      <w:proofErr w:type="gramEnd"/>
      <w:r w:rsidRPr="003968B4">
        <w:rPr>
          <w:rFonts w:ascii="標楷體" w:eastAsia="標楷體" w:hAnsi="標楷體"/>
        </w:rPr>
        <w:t>：「</w:t>
      </w:r>
      <w:proofErr w:type="gramStart"/>
      <w:r w:rsidRPr="003968B4">
        <w:rPr>
          <w:rFonts w:ascii="標楷體" w:eastAsia="標楷體" w:hAnsi="標楷體"/>
        </w:rPr>
        <w:t>余</w:t>
      </w:r>
      <w:proofErr w:type="gramEnd"/>
      <w:r w:rsidRPr="003968B4">
        <w:rPr>
          <w:rFonts w:ascii="標楷體" w:eastAsia="標楷體" w:hAnsi="標楷體"/>
        </w:rPr>
        <w:t>，爾所嫁婦人之父也。爾用先人之</w:t>
      </w:r>
      <w:proofErr w:type="gramStart"/>
      <w:r w:rsidRPr="003968B4">
        <w:rPr>
          <w:rFonts w:ascii="標楷體" w:eastAsia="標楷體" w:hAnsi="標楷體"/>
        </w:rPr>
        <w:t>治命，余</w:t>
      </w:r>
      <w:proofErr w:type="gramEnd"/>
      <w:r w:rsidRPr="003968B4">
        <w:rPr>
          <w:rFonts w:ascii="標楷體" w:eastAsia="標楷體" w:hAnsi="標楷體"/>
        </w:rPr>
        <w:t>是以報。」 (</w:t>
      </w:r>
      <w:proofErr w:type="gramStart"/>
      <w:r w:rsidRPr="003968B4">
        <w:rPr>
          <w:rFonts w:ascii="標楷體" w:eastAsia="標楷體" w:hAnsi="標楷體"/>
        </w:rPr>
        <w:t>《</w:t>
      </w:r>
      <w:proofErr w:type="gramEnd"/>
      <w:r w:rsidRPr="003968B4">
        <w:rPr>
          <w:rFonts w:ascii="標楷體" w:eastAsia="標楷體" w:hAnsi="標楷體"/>
        </w:rPr>
        <w:t>左傳.</w:t>
      </w:r>
      <w:proofErr w:type="gramStart"/>
      <w:r w:rsidRPr="003968B4">
        <w:rPr>
          <w:rFonts w:ascii="標楷體" w:eastAsia="標楷體" w:hAnsi="標楷體"/>
        </w:rPr>
        <w:t>宣公十五年》</w:t>
      </w:r>
      <w:proofErr w:type="gramEnd"/>
      <w:r w:rsidRPr="003968B4">
        <w:rPr>
          <w:rFonts w:ascii="標楷體" w:eastAsia="標楷體" w:hAnsi="標楷體"/>
        </w:rPr>
        <w:t>)</w:t>
      </w:r>
    </w:p>
    <w:p w:rsidR="00E306B1" w:rsidRPr="00E42B93" w:rsidRDefault="00E306B1" w:rsidP="00E306B1">
      <w:pPr>
        <w:rPr>
          <w:rFonts w:eastAsia="標楷體" w:hAnsi="標楷體"/>
          <w:b/>
          <w:color w:val="000000"/>
        </w:rPr>
      </w:pPr>
      <w:r w:rsidRPr="007D37C0">
        <w:rPr>
          <w:rFonts w:eastAsia="標楷體" w:hAnsi="標楷體"/>
          <w:i/>
          <w:color w:val="000000"/>
        </w:rPr>
        <w:t>問題：</w:t>
      </w:r>
      <w:r>
        <w:rPr>
          <w:rFonts w:eastAsia="標楷體" w:hAnsi="標楷體" w:hint="eastAsia"/>
          <w:color w:val="000000"/>
        </w:rPr>
        <w:t>我們該尊重失智者「在失</w:t>
      </w:r>
      <w:proofErr w:type="gramStart"/>
      <w:r>
        <w:rPr>
          <w:rFonts w:eastAsia="標楷體" w:hAnsi="標楷體" w:hint="eastAsia"/>
          <w:color w:val="000000"/>
        </w:rPr>
        <w:t>智前拒絕延命</w:t>
      </w:r>
      <w:proofErr w:type="gramEnd"/>
      <w:r>
        <w:rPr>
          <w:rFonts w:eastAsia="標楷體" w:hAnsi="標楷體" w:hint="eastAsia"/>
          <w:color w:val="000000"/>
        </w:rPr>
        <w:t>治療之指示」或「在失</w:t>
      </w:r>
      <w:proofErr w:type="gramStart"/>
      <w:r>
        <w:rPr>
          <w:rFonts w:eastAsia="標楷體" w:hAnsi="標楷體" w:hint="eastAsia"/>
          <w:color w:val="000000"/>
        </w:rPr>
        <w:t>智後要求延命</w:t>
      </w:r>
      <w:proofErr w:type="gramEnd"/>
      <w:r>
        <w:rPr>
          <w:rFonts w:eastAsia="標楷體" w:hAnsi="標楷體" w:hint="eastAsia"/>
          <w:color w:val="000000"/>
        </w:rPr>
        <w:t>治療之指示」？</w:t>
      </w:r>
    </w:p>
    <w:p w:rsidR="00E306B1" w:rsidRDefault="00E306B1" w:rsidP="00E306B1">
      <w:pPr>
        <w:numPr>
          <w:ilvl w:val="0"/>
          <w:numId w:val="26"/>
        </w:numPr>
        <w:rPr>
          <w:rFonts w:eastAsia="標楷體" w:hAnsi="標楷體"/>
          <w:color w:val="000000"/>
        </w:rPr>
      </w:pPr>
      <w:r>
        <w:rPr>
          <w:rFonts w:eastAsia="標楷體" w:hAnsi="標楷體" w:hint="eastAsia"/>
          <w:color w:val="000000"/>
        </w:rPr>
        <w:t xml:space="preserve">Ronald </w:t>
      </w:r>
      <w:proofErr w:type="spellStart"/>
      <w:r>
        <w:rPr>
          <w:rFonts w:eastAsia="標楷體" w:hAnsi="標楷體" w:hint="eastAsia"/>
          <w:color w:val="000000"/>
        </w:rPr>
        <w:t>Dworkin</w:t>
      </w:r>
      <w:proofErr w:type="spellEnd"/>
      <w:r>
        <w:rPr>
          <w:rFonts w:eastAsia="標楷體" w:hAnsi="標楷體" w:hint="eastAsia"/>
          <w:color w:val="000000"/>
        </w:rPr>
        <w:t xml:space="preserve">, Autonomy and the demented self. Milbank Quarterly, 1986, 64:4-16. </w:t>
      </w:r>
      <w:r>
        <w:rPr>
          <w:rFonts w:eastAsia="標楷體" w:hAnsi="標楷體" w:hint="eastAsia"/>
          <w:color w:val="000000"/>
        </w:rPr>
        <w:t>（電子檔）</w:t>
      </w:r>
      <w:r w:rsidRPr="00C801F0">
        <w:rPr>
          <w:rFonts w:eastAsia="標楷體" w:hint="eastAsia"/>
          <w:color w:val="000000"/>
        </w:rPr>
        <w:t>（必讀）</w:t>
      </w:r>
    </w:p>
    <w:p w:rsidR="00E306B1" w:rsidRPr="0082614E" w:rsidRDefault="00E306B1" w:rsidP="00E306B1">
      <w:pPr>
        <w:numPr>
          <w:ilvl w:val="0"/>
          <w:numId w:val="26"/>
        </w:numPr>
        <w:jc w:val="both"/>
        <w:rPr>
          <w:rFonts w:eastAsia="標楷體" w:hAnsi="標楷體"/>
          <w:i/>
          <w:color w:val="000000"/>
        </w:rPr>
      </w:pPr>
      <w:r w:rsidRPr="0082614E">
        <w:rPr>
          <w:rFonts w:eastAsia="標楷體" w:hAnsi="標楷體" w:hint="eastAsia"/>
          <w:color w:val="000000"/>
        </w:rPr>
        <w:t xml:space="preserve">Rebecca Dresser, </w:t>
      </w:r>
      <w:proofErr w:type="spellStart"/>
      <w:r w:rsidRPr="0082614E">
        <w:rPr>
          <w:rFonts w:eastAsia="標楷體" w:hAnsi="標楷體" w:hint="eastAsia"/>
          <w:color w:val="000000"/>
        </w:rPr>
        <w:t>Dworkin</w:t>
      </w:r>
      <w:proofErr w:type="spellEnd"/>
      <w:r w:rsidRPr="0082614E">
        <w:rPr>
          <w:rFonts w:eastAsia="標楷體" w:hAnsi="標楷體" w:hint="eastAsia"/>
          <w:color w:val="000000"/>
        </w:rPr>
        <w:t xml:space="preserve"> on dementia: Elegant theory, questionable policy, Hastings Center Report, 1995, 25:32-38.</w:t>
      </w:r>
      <w:r w:rsidRPr="0082614E">
        <w:rPr>
          <w:rFonts w:eastAsia="標楷體" w:hint="eastAsia"/>
          <w:color w:val="000000"/>
        </w:rPr>
        <w:t>（必讀）</w:t>
      </w:r>
    </w:p>
    <w:p w:rsidR="00E306B1" w:rsidRPr="0082614E" w:rsidRDefault="00E306B1" w:rsidP="00E306B1">
      <w:pPr>
        <w:numPr>
          <w:ilvl w:val="0"/>
          <w:numId w:val="26"/>
        </w:numPr>
        <w:jc w:val="both"/>
        <w:rPr>
          <w:rFonts w:eastAsia="標楷體" w:hAnsi="標楷體"/>
          <w:i/>
          <w:color w:val="000000"/>
        </w:rPr>
      </w:pPr>
      <w:r w:rsidRPr="0082614E">
        <w:rPr>
          <w:rFonts w:eastAsia="標楷體" w:hint="eastAsia"/>
          <w:color w:val="000000"/>
        </w:rPr>
        <w:t>醫療法、精神衛生法、安寧緩和醫療條例（必讀）</w:t>
      </w:r>
    </w:p>
    <w:p w:rsidR="00A17EA2" w:rsidRPr="00E306B1" w:rsidRDefault="00A17EA2" w:rsidP="0082614E">
      <w:pPr>
        <w:rPr>
          <w:rFonts w:eastAsia="標楷體" w:hAnsi="標楷體"/>
          <w:i/>
          <w:color w:val="000000"/>
        </w:rPr>
      </w:pPr>
    </w:p>
    <w:p w:rsidR="005A20B2" w:rsidRDefault="005A20B2" w:rsidP="007A7538">
      <w:pPr>
        <w:rPr>
          <w:rFonts w:eastAsia="標楷體" w:hAnsi="標楷體"/>
          <w:i/>
          <w:color w:val="000000"/>
        </w:rPr>
      </w:pPr>
    </w:p>
    <w:p w:rsidR="002B0D8D" w:rsidRDefault="00A17EA2" w:rsidP="002B0D8D">
      <w:pPr>
        <w:rPr>
          <w:rFonts w:eastAsia="標楷體" w:hAnsi="標楷體"/>
          <w:i/>
          <w:color w:val="000000"/>
        </w:rPr>
      </w:pPr>
      <w:r w:rsidRPr="0082614E">
        <w:rPr>
          <w:rFonts w:eastAsia="標楷體" w:hAnsi="標楷體"/>
          <w:b/>
          <w:color w:val="000000"/>
          <w:highlight w:val="yellow"/>
        </w:rPr>
        <w:t>十</w:t>
      </w:r>
      <w:r w:rsidRPr="0082614E">
        <w:rPr>
          <w:rFonts w:eastAsia="標楷體" w:hAnsi="標楷體" w:hint="eastAsia"/>
          <w:b/>
          <w:color w:val="000000"/>
          <w:highlight w:val="yellow"/>
        </w:rPr>
        <w:t>四</w:t>
      </w:r>
      <w:proofErr w:type="gramStart"/>
      <w:r w:rsidRPr="0082614E">
        <w:rPr>
          <w:rFonts w:eastAsia="標楷體" w:hAnsi="標楷體"/>
          <w:b/>
          <w:color w:val="000000"/>
          <w:highlight w:val="yellow"/>
        </w:rPr>
        <w:t>週</w:t>
      </w:r>
      <w:proofErr w:type="gramEnd"/>
      <w:r w:rsidRPr="0082614E">
        <w:rPr>
          <w:rFonts w:eastAsia="標楷體" w:hAnsi="標楷體"/>
          <w:b/>
          <w:color w:val="000000"/>
          <w:highlight w:val="yellow"/>
        </w:rPr>
        <w:t>（</w:t>
      </w:r>
      <w:r w:rsidR="00FD5989" w:rsidRPr="0082614E">
        <w:rPr>
          <w:rFonts w:eastAsia="標楷體" w:hAnsi="標楷體" w:hint="eastAsia"/>
          <w:b/>
          <w:color w:val="000000"/>
          <w:highlight w:val="yellow"/>
        </w:rPr>
        <w:t>12</w:t>
      </w:r>
      <w:r w:rsidRPr="0082614E">
        <w:rPr>
          <w:rFonts w:eastAsia="標楷體"/>
          <w:b/>
          <w:color w:val="000000"/>
          <w:highlight w:val="yellow"/>
        </w:rPr>
        <w:t>/</w:t>
      </w:r>
      <w:r w:rsidR="00FD5989" w:rsidRPr="0082614E">
        <w:rPr>
          <w:rFonts w:eastAsia="標楷體" w:hint="eastAsia"/>
          <w:b/>
          <w:color w:val="000000"/>
          <w:highlight w:val="yellow"/>
        </w:rPr>
        <w:t>14</w:t>
      </w:r>
      <w:r w:rsidRPr="0082614E">
        <w:rPr>
          <w:rFonts w:eastAsia="標楷體" w:hAnsi="標楷體"/>
          <w:b/>
          <w:color w:val="000000"/>
          <w:highlight w:val="yellow"/>
        </w:rPr>
        <w:t>）：</w:t>
      </w:r>
      <w:r w:rsidR="0082614E" w:rsidRPr="0082614E">
        <w:rPr>
          <w:rFonts w:eastAsia="標楷體" w:hAnsi="標楷體" w:hint="eastAsia"/>
          <w:b/>
          <w:color w:val="000000"/>
          <w:highlight w:val="yellow"/>
        </w:rPr>
        <w:t>準備</w:t>
      </w:r>
    </w:p>
    <w:p w:rsidR="009A122E" w:rsidRPr="007D37C0" w:rsidRDefault="009A122E" w:rsidP="00A17EA2">
      <w:pPr>
        <w:rPr>
          <w:rFonts w:eastAsia="標楷體"/>
          <w:color w:val="000000"/>
        </w:rPr>
      </w:pPr>
    </w:p>
    <w:p w:rsidR="00ED456F" w:rsidRDefault="00944590" w:rsidP="00ED456F">
      <w:pPr>
        <w:rPr>
          <w:rFonts w:eastAsia="標楷體"/>
          <w:color w:val="000000"/>
        </w:rPr>
      </w:pPr>
      <w:r w:rsidRPr="0082614E">
        <w:rPr>
          <w:rFonts w:eastAsia="標楷體" w:hAnsi="標楷體"/>
          <w:b/>
          <w:color w:val="000000"/>
          <w:highlight w:val="yellow"/>
        </w:rPr>
        <w:t>第十</w:t>
      </w:r>
      <w:r w:rsidR="00523F70" w:rsidRPr="0082614E">
        <w:rPr>
          <w:rFonts w:eastAsia="標楷體" w:hAnsi="標楷體" w:hint="eastAsia"/>
          <w:b/>
          <w:color w:val="000000"/>
          <w:highlight w:val="yellow"/>
        </w:rPr>
        <w:t>五</w:t>
      </w:r>
      <w:proofErr w:type="gramStart"/>
      <w:r w:rsidRPr="0082614E">
        <w:rPr>
          <w:rFonts w:eastAsia="標楷體" w:hAnsi="標楷體"/>
          <w:b/>
          <w:color w:val="000000"/>
          <w:highlight w:val="yellow"/>
        </w:rPr>
        <w:t>週</w:t>
      </w:r>
      <w:proofErr w:type="gramEnd"/>
      <w:r w:rsidRPr="0082614E">
        <w:rPr>
          <w:rFonts w:eastAsia="標楷體" w:hAnsi="標楷體"/>
          <w:b/>
          <w:color w:val="000000"/>
          <w:highlight w:val="yellow"/>
        </w:rPr>
        <w:t>（</w:t>
      </w:r>
      <w:r w:rsidR="00FD5989" w:rsidRPr="0082614E">
        <w:rPr>
          <w:rFonts w:eastAsia="標楷體" w:hAnsi="標楷體" w:hint="eastAsia"/>
          <w:b/>
          <w:color w:val="000000"/>
          <w:highlight w:val="yellow"/>
        </w:rPr>
        <w:t>12</w:t>
      </w:r>
      <w:r w:rsidRPr="0082614E">
        <w:rPr>
          <w:rFonts w:eastAsia="標楷體"/>
          <w:b/>
          <w:color w:val="000000"/>
          <w:highlight w:val="yellow"/>
        </w:rPr>
        <w:t>/</w:t>
      </w:r>
      <w:r w:rsidRPr="0082614E">
        <w:rPr>
          <w:rFonts w:eastAsia="標楷體" w:hint="eastAsia"/>
          <w:b/>
          <w:color w:val="000000"/>
          <w:highlight w:val="yellow"/>
        </w:rPr>
        <w:t>2</w:t>
      </w:r>
      <w:r w:rsidR="00FD5989" w:rsidRPr="0082614E">
        <w:rPr>
          <w:rFonts w:eastAsia="標楷體" w:hint="eastAsia"/>
          <w:b/>
          <w:color w:val="000000"/>
          <w:highlight w:val="yellow"/>
        </w:rPr>
        <w:t>1</w:t>
      </w:r>
      <w:r w:rsidRPr="0082614E">
        <w:rPr>
          <w:rFonts w:eastAsia="標楷體" w:hAnsi="標楷體"/>
          <w:b/>
          <w:color w:val="000000"/>
          <w:highlight w:val="yellow"/>
        </w:rPr>
        <w:t>）：</w:t>
      </w:r>
      <w:r w:rsidR="0082614E" w:rsidRPr="0082614E">
        <w:rPr>
          <w:rFonts w:eastAsia="標楷體" w:hAnsi="標楷體" w:hint="eastAsia"/>
          <w:b/>
          <w:color w:val="000000"/>
          <w:highlight w:val="yellow"/>
        </w:rPr>
        <w:t>準備</w:t>
      </w:r>
    </w:p>
    <w:p w:rsidR="00944590" w:rsidRDefault="00944590" w:rsidP="007A7538">
      <w:pPr>
        <w:rPr>
          <w:rFonts w:eastAsia="標楷體"/>
          <w:color w:val="000000"/>
        </w:rPr>
      </w:pPr>
    </w:p>
    <w:p w:rsidR="00ED456F" w:rsidRPr="00D97CF1" w:rsidRDefault="00523F70" w:rsidP="00ED456F">
      <w:pPr>
        <w:rPr>
          <w:rFonts w:eastAsia="標楷體"/>
          <w:color w:val="000000"/>
        </w:rPr>
      </w:pPr>
      <w:r w:rsidRPr="001879C9">
        <w:rPr>
          <w:rFonts w:eastAsia="標楷體" w:hint="eastAsia"/>
          <w:b/>
          <w:color w:val="000000"/>
          <w:highlight w:val="yellow"/>
        </w:rPr>
        <w:t>第十六</w:t>
      </w:r>
      <w:proofErr w:type="gramStart"/>
      <w:r w:rsidRPr="001879C9">
        <w:rPr>
          <w:rFonts w:eastAsia="標楷體" w:hint="eastAsia"/>
          <w:b/>
          <w:color w:val="000000"/>
          <w:highlight w:val="yellow"/>
        </w:rPr>
        <w:t>週</w:t>
      </w:r>
      <w:proofErr w:type="gramEnd"/>
      <w:r w:rsidRPr="001879C9">
        <w:rPr>
          <w:rFonts w:eastAsia="標楷體" w:hint="eastAsia"/>
          <w:b/>
          <w:color w:val="000000"/>
          <w:highlight w:val="yellow"/>
        </w:rPr>
        <w:t>（</w:t>
      </w:r>
      <w:r w:rsidR="00FD5989">
        <w:rPr>
          <w:rFonts w:eastAsia="標楷體" w:hint="eastAsia"/>
          <w:b/>
          <w:color w:val="000000"/>
          <w:highlight w:val="yellow"/>
        </w:rPr>
        <w:t>12</w:t>
      </w:r>
      <w:r w:rsidRPr="001879C9">
        <w:rPr>
          <w:rFonts w:eastAsia="標楷體" w:hint="eastAsia"/>
          <w:b/>
          <w:color w:val="000000"/>
          <w:highlight w:val="yellow"/>
        </w:rPr>
        <w:t>/</w:t>
      </w:r>
      <w:r w:rsidR="00FD5989">
        <w:rPr>
          <w:rFonts w:eastAsia="標楷體" w:hint="eastAsia"/>
          <w:b/>
          <w:color w:val="000000"/>
          <w:highlight w:val="yellow"/>
        </w:rPr>
        <w:t>28</w:t>
      </w:r>
      <w:r w:rsidRPr="001879C9">
        <w:rPr>
          <w:rFonts w:eastAsia="標楷體" w:hint="eastAsia"/>
          <w:b/>
          <w:color w:val="000000"/>
          <w:highlight w:val="yellow"/>
        </w:rPr>
        <w:t>）：</w:t>
      </w:r>
      <w:r w:rsidR="00E306B1" w:rsidRPr="00E306B1">
        <w:rPr>
          <w:rFonts w:eastAsia="標楷體" w:hint="eastAsia"/>
          <w:b/>
          <w:color w:val="000000"/>
          <w:highlight w:val="yellow"/>
        </w:rPr>
        <w:t>準備</w:t>
      </w:r>
    </w:p>
    <w:p w:rsidR="007E2F0A" w:rsidRPr="00D97CF1" w:rsidRDefault="007E2F0A" w:rsidP="001879C9">
      <w:pPr>
        <w:jc w:val="both"/>
        <w:rPr>
          <w:rFonts w:eastAsia="標楷體"/>
          <w:color w:val="000000"/>
        </w:rPr>
      </w:pPr>
    </w:p>
    <w:p w:rsidR="00970201" w:rsidRPr="00E306B1" w:rsidRDefault="00523F70" w:rsidP="00523F70">
      <w:pPr>
        <w:rPr>
          <w:rFonts w:eastAsia="標楷體"/>
          <w:b/>
          <w:color w:val="000000"/>
        </w:rPr>
      </w:pPr>
      <w:r w:rsidRPr="00E306B1">
        <w:rPr>
          <w:rFonts w:eastAsia="標楷體" w:hint="eastAsia"/>
          <w:b/>
          <w:color w:val="000000"/>
        </w:rPr>
        <w:t>第十七</w:t>
      </w:r>
      <w:proofErr w:type="gramStart"/>
      <w:r w:rsidRPr="00E306B1">
        <w:rPr>
          <w:rFonts w:eastAsia="標楷體" w:hint="eastAsia"/>
          <w:b/>
          <w:color w:val="000000"/>
        </w:rPr>
        <w:t>週</w:t>
      </w:r>
      <w:proofErr w:type="gramEnd"/>
      <w:r w:rsidRPr="00E306B1">
        <w:rPr>
          <w:rFonts w:eastAsia="標楷體" w:hint="eastAsia"/>
          <w:b/>
          <w:color w:val="000000"/>
        </w:rPr>
        <w:t>（</w:t>
      </w:r>
      <w:r w:rsidR="0082614E" w:rsidRPr="00E306B1">
        <w:rPr>
          <w:rFonts w:eastAsia="標楷體" w:hint="eastAsia"/>
          <w:b/>
          <w:color w:val="000000"/>
        </w:rPr>
        <w:t>1</w:t>
      </w:r>
      <w:r w:rsidRPr="00E306B1">
        <w:rPr>
          <w:rFonts w:eastAsia="標楷體" w:hint="eastAsia"/>
          <w:b/>
          <w:color w:val="000000"/>
        </w:rPr>
        <w:t>/</w:t>
      </w:r>
      <w:r w:rsidR="0082614E" w:rsidRPr="00E306B1">
        <w:rPr>
          <w:rFonts w:eastAsia="標楷體" w:hint="eastAsia"/>
          <w:b/>
          <w:color w:val="000000"/>
        </w:rPr>
        <w:t>4</w:t>
      </w:r>
      <w:r w:rsidRPr="00E306B1">
        <w:rPr>
          <w:rFonts w:eastAsia="標楷體" w:hint="eastAsia"/>
          <w:b/>
          <w:color w:val="000000"/>
        </w:rPr>
        <w:t>）：</w:t>
      </w:r>
      <w:r w:rsidR="00E306B1" w:rsidRPr="00E306B1">
        <w:rPr>
          <w:rFonts w:eastAsia="標楷體" w:hint="eastAsia"/>
          <w:b/>
          <w:color w:val="000000"/>
        </w:rPr>
        <w:t>3</w:t>
      </w:r>
      <w:r w:rsidR="00E306B1" w:rsidRPr="00E306B1">
        <w:rPr>
          <w:rFonts w:eastAsia="標楷體" w:hint="eastAsia"/>
          <w:b/>
          <w:color w:val="000000"/>
        </w:rPr>
        <w:t>小時</w:t>
      </w:r>
    </w:p>
    <w:p w:rsidR="00E306B1" w:rsidRPr="004F77CD" w:rsidRDefault="00E306B1" w:rsidP="00E306B1">
      <w:pPr>
        <w:jc w:val="both"/>
        <w:rPr>
          <w:rFonts w:eastAsia="標楷體"/>
          <w:color w:val="000000"/>
        </w:rPr>
      </w:pPr>
      <w:r w:rsidRPr="0082614E">
        <w:rPr>
          <w:rFonts w:eastAsia="標楷體" w:hint="eastAsia"/>
          <w:i/>
          <w:color w:val="000000"/>
        </w:rPr>
        <w:t>案例</w:t>
      </w:r>
      <w:r>
        <w:rPr>
          <w:rFonts w:eastAsia="標楷體" w:hint="eastAsia"/>
          <w:color w:val="000000"/>
        </w:rPr>
        <w:t>：精神疾病可以視為職業病嗎？（以日本、英國、美國、丹麥、加拿大及澳洲為例）</w:t>
      </w:r>
      <w:r>
        <w:rPr>
          <w:rFonts w:eastAsia="標楷體" w:hint="eastAsia"/>
          <w:color w:val="000000"/>
        </w:rPr>
        <w:t>(</w:t>
      </w:r>
      <w:r>
        <w:rPr>
          <w:rFonts w:eastAsia="標楷體" w:hint="eastAsia"/>
          <w:color w:val="000000"/>
        </w:rPr>
        <w:t>陳致遠，台灣勞工季刊，</w:t>
      </w:r>
      <w:r>
        <w:rPr>
          <w:rFonts w:eastAsia="標楷體" w:hint="eastAsia"/>
          <w:color w:val="000000"/>
        </w:rPr>
        <w:t>2009</w:t>
      </w:r>
      <w:r>
        <w:rPr>
          <w:rFonts w:eastAsia="標楷體" w:hint="eastAsia"/>
          <w:color w:val="000000"/>
        </w:rPr>
        <w:t>年</w:t>
      </w:r>
      <w:r>
        <w:rPr>
          <w:rFonts w:eastAsia="標楷體" w:hint="eastAsia"/>
          <w:color w:val="000000"/>
        </w:rPr>
        <w:t>9</w:t>
      </w:r>
      <w:r>
        <w:rPr>
          <w:rFonts w:eastAsia="標楷體" w:hint="eastAsia"/>
          <w:color w:val="000000"/>
        </w:rPr>
        <w:t>月，頁</w:t>
      </w:r>
      <w:r>
        <w:rPr>
          <w:rFonts w:eastAsia="標楷體" w:hint="eastAsia"/>
          <w:color w:val="000000"/>
        </w:rPr>
        <w:t>82-87)</w:t>
      </w:r>
    </w:p>
    <w:p w:rsidR="00E306B1" w:rsidRDefault="00E306B1" w:rsidP="00E306B1">
      <w:pPr>
        <w:jc w:val="both"/>
        <w:rPr>
          <w:rFonts w:eastAsia="標楷體"/>
          <w:color w:val="000000"/>
        </w:rPr>
      </w:pPr>
      <w:r w:rsidRPr="007D37C0">
        <w:rPr>
          <w:rFonts w:eastAsia="標楷體" w:hAnsi="標楷體"/>
          <w:i/>
          <w:color w:val="000000"/>
        </w:rPr>
        <w:t>問題：</w:t>
      </w:r>
      <w:r>
        <w:rPr>
          <w:rFonts w:eastAsia="標楷體" w:hAnsi="標楷體" w:hint="eastAsia"/>
          <w:color w:val="000000"/>
        </w:rPr>
        <w:t>民事賠償或職業病必須將精神（心理）傷害考慮在內嗎？</w:t>
      </w:r>
    </w:p>
    <w:p w:rsidR="00E306B1" w:rsidRDefault="00E306B1" w:rsidP="00E306B1">
      <w:pPr>
        <w:numPr>
          <w:ilvl w:val="0"/>
          <w:numId w:val="16"/>
        </w:numPr>
        <w:jc w:val="both"/>
        <w:rPr>
          <w:rStyle w:val="ti"/>
        </w:rPr>
      </w:pPr>
      <w:r>
        <w:rPr>
          <w:rFonts w:eastAsia="標楷體" w:hint="eastAsia"/>
          <w:color w:val="000000"/>
        </w:rPr>
        <w:t xml:space="preserve">Gerald Young, Psychological injury and law: Defining a field, Psychological </w:t>
      </w:r>
      <w:r>
        <w:rPr>
          <w:rFonts w:eastAsia="標楷體" w:hint="eastAsia"/>
          <w:color w:val="000000"/>
        </w:rPr>
        <w:lastRenderedPageBreak/>
        <w:t>Injury and Law, 2008, 1: 78-93.</w:t>
      </w:r>
      <w:r>
        <w:rPr>
          <w:rFonts w:eastAsia="標楷體" w:hint="eastAsia"/>
          <w:color w:val="000000"/>
        </w:rPr>
        <w:t>（必讀）</w:t>
      </w:r>
    </w:p>
    <w:p w:rsidR="00E306B1" w:rsidRPr="002C2592" w:rsidRDefault="00E306B1" w:rsidP="00E306B1">
      <w:pPr>
        <w:numPr>
          <w:ilvl w:val="0"/>
          <w:numId w:val="16"/>
        </w:numPr>
        <w:jc w:val="both"/>
        <w:rPr>
          <w:rStyle w:val="ti"/>
          <w:rFonts w:eastAsia="標楷體"/>
          <w:color w:val="000000"/>
        </w:rPr>
      </w:pPr>
      <w:proofErr w:type="spellStart"/>
      <w:r>
        <w:rPr>
          <w:rFonts w:eastAsia="標楷體" w:hint="eastAsia"/>
          <w:color w:val="000000"/>
        </w:rPr>
        <w:t>Joti</w:t>
      </w:r>
      <w:proofErr w:type="spellEnd"/>
      <w:r>
        <w:rPr>
          <w:rFonts w:eastAsia="標楷體" w:hint="eastAsia"/>
          <w:color w:val="000000"/>
        </w:rPr>
        <w:t xml:space="preserve"> </w:t>
      </w:r>
      <w:proofErr w:type="spellStart"/>
      <w:r>
        <w:rPr>
          <w:rFonts w:eastAsia="標楷體" w:hint="eastAsia"/>
          <w:color w:val="000000"/>
        </w:rPr>
        <w:t>Samra</w:t>
      </w:r>
      <w:proofErr w:type="spellEnd"/>
      <w:r>
        <w:rPr>
          <w:rFonts w:eastAsia="標楷體" w:hint="eastAsia"/>
          <w:color w:val="000000"/>
        </w:rPr>
        <w:t xml:space="preserve"> and Deborah A Connolly, Legal compensability of symptoms associated with posttraumatic stress disorder: A Canadian perspective, International Journal of Forensic Mental Health, 2004, 3(1): 55-66.</w:t>
      </w:r>
      <w:r>
        <w:rPr>
          <w:rFonts w:eastAsia="標楷體" w:hint="eastAsia"/>
          <w:color w:val="000000"/>
        </w:rPr>
        <w:t>（必讀）</w:t>
      </w:r>
    </w:p>
    <w:p w:rsidR="00E306B1" w:rsidRPr="00E306B1" w:rsidRDefault="00E306B1" w:rsidP="00E306B1">
      <w:pPr>
        <w:numPr>
          <w:ilvl w:val="0"/>
          <w:numId w:val="16"/>
        </w:numPr>
        <w:rPr>
          <w:rFonts w:eastAsia="標楷體"/>
        </w:rPr>
      </w:pPr>
      <w:r w:rsidRPr="00E306B1">
        <w:rPr>
          <w:rFonts w:eastAsia="標楷體" w:hint="eastAsia"/>
        </w:rPr>
        <w:t>Gerald M Rosen and Steven Taylor, Pseudo-PTSD, Journal of Anxiety Disorders, 2007, 21: 201-210.</w:t>
      </w:r>
      <w:r w:rsidRPr="00E306B1">
        <w:rPr>
          <w:rFonts w:eastAsia="標楷體" w:hint="eastAsia"/>
        </w:rPr>
        <w:t>（必讀）</w:t>
      </w:r>
    </w:p>
    <w:p w:rsidR="007E2F0A" w:rsidRPr="00E306B1" w:rsidRDefault="00E306B1" w:rsidP="00E306B1">
      <w:pPr>
        <w:numPr>
          <w:ilvl w:val="0"/>
          <w:numId w:val="16"/>
        </w:numPr>
        <w:rPr>
          <w:rFonts w:eastAsia="標楷體"/>
        </w:rPr>
      </w:pPr>
      <w:r w:rsidRPr="00E306B1">
        <w:rPr>
          <w:rFonts w:eastAsia="標楷體" w:hint="eastAsia"/>
        </w:rPr>
        <w:t>勞工保險條例、職業災害勞工保護法、民法</w:t>
      </w:r>
    </w:p>
    <w:p w:rsidR="00E306B1" w:rsidRDefault="00E306B1" w:rsidP="007A7538">
      <w:pPr>
        <w:rPr>
          <w:rFonts w:eastAsia="標楷體"/>
          <w:color w:val="000000"/>
          <w:highlight w:val="yellow"/>
        </w:rPr>
      </w:pPr>
    </w:p>
    <w:p w:rsidR="00B45D5C" w:rsidRDefault="00B45D5C" w:rsidP="007A7538">
      <w:pPr>
        <w:rPr>
          <w:rFonts w:eastAsia="標楷體" w:hAnsi="標楷體"/>
          <w:b/>
          <w:color w:val="000000"/>
        </w:rPr>
      </w:pPr>
      <w:r w:rsidRPr="00473415">
        <w:rPr>
          <w:rFonts w:eastAsia="標楷體" w:hAnsi="標楷體"/>
          <w:b/>
          <w:color w:val="000000"/>
          <w:highlight w:val="yellow"/>
        </w:rPr>
        <w:t>第十</w:t>
      </w:r>
      <w:r w:rsidR="00523F70" w:rsidRPr="00473415">
        <w:rPr>
          <w:rFonts w:eastAsia="標楷體" w:hAnsi="標楷體" w:hint="eastAsia"/>
          <w:b/>
          <w:color w:val="000000"/>
          <w:highlight w:val="yellow"/>
        </w:rPr>
        <w:t>八</w:t>
      </w:r>
      <w:proofErr w:type="gramStart"/>
      <w:r w:rsidRPr="00473415">
        <w:rPr>
          <w:rFonts w:eastAsia="標楷體" w:hAnsi="標楷體"/>
          <w:b/>
          <w:color w:val="000000"/>
          <w:highlight w:val="yellow"/>
        </w:rPr>
        <w:t>週</w:t>
      </w:r>
      <w:proofErr w:type="gramEnd"/>
      <w:r w:rsidRPr="00473415">
        <w:rPr>
          <w:rFonts w:eastAsia="標楷體" w:hAnsi="標楷體"/>
          <w:b/>
          <w:color w:val="000000"/>
          <w:highlight w:val="yellow"/>
        </w:rPr>
        <w:t>（</w:t>
      </w:r>
      <w:r w:rsidR="00E306B1">
        <w:rPr>
          <w:rFonts w:eastAsia="標楷體" w:hAnsi="標楷體" w:hint="eastAsia"/>
          <w:b/>
          <w:color w:val="000000"/>
          <w:highlight w:val="yellow"/>
        </w:rPr>
        <w:t>1</w:t>
      </w:r>
      <w:r w:rsidR="00F777D3" w:rsidRPr="00473415">
        <w:rPr>
          <w:rFonts w:eastAsia="標楷體"/>
          <w:b/>
          <w:color w:val="000000"/>
          <w:highlight w:val="yellow"/>
        </w:rPr>
        <w:t>/</w:t>
      </w:r>
      <w:r w:rsidR="00E306B1">
        <w:rPr>
          <w:rFonts w:eastAsia="標楷體" w:hint="eastAsia"/>
          <w:b/>
          <w:color w:val="000000"/>
          <w:highlight w:val="yellow"/>
        </w:rPr>
        <w:t>18</w:t>
      </w:r>
      <w:r w:rsidRPr="00473415">
        <w:rPr>
          <w:rFonts w:eastAsia="標楷體" w:hAnsi="標楷體"/>
          <w:b/>
          <w:color w:val="000000"/>
          <w:highlight w:val="yellow"/>
        </w:rPr>
        <w:t>）</w:t>
      </w:r>
      <w:r w:rsidR="00C30288" w:rsidRPr="00473415">
        <w:rPr>
          <w:rFonts w:eastAsia="標楷體" w:hAnsi="標楷體"/>
          <w:b/>
          <w:color w:val="000000"/>
          <w:highlight w:val="yellow"/>
        </w:rPr>
        <w:t>：</w:t>
      </w:r>
      <w:r w:rsidR="00970201" w:rsidRPr="00473415">
        <w:rPr>
          <w:rFonts w:eastAsia="標楷體" w:hAnsi="標楷體" w:hint="eastAsia"/>
          <w:b/>
          <w:color w:val="000000"/>
          <w:highlight w:val="yellow"/>
        </w:rPr>
        <w:t>期末報告繳交</w:t>
      </w:r>
      <w:r w:rsidR="00EB51A4" w:rsidRPr="00473415">
        <w:rPr>
          <w:rFonts w:eastAsia="標楷體" w:hAnsi="標楷體" w:hint="eastAsia"/>
          <w:b/>
          <w:color w:val="000000"/>
          <w:highlight w:val="yellow"/>
        </w:rPr>
        <w:t>截止</w:t>
      </w:r>
      <w:r w:rsidR="00970201" w:rsidRPr="00473415">
        <w:rPr>
          <w:rFonts w:eastAsia="標楷體" w:hAnsi="標楷體" w:hint="eastAsia"/>
          <w:b/>
          <w:color w:val="000000"/>
          <w:highlight w:val="yellow"/>
        </w:rPr>
        <w:t>日</w:t>
      </w:r>
    </w:p>
    <w:p w:rsidR="00523F70" w:rsidRPr="007D37C0" w:rsidRDefault="00523F70" w:rsidP="007A7538">
      <w:pPr>
        <w:rPr>
          <w:rFonts w:eastAsia="標楷體"/>
          <w:b/>
          <w:color w:val="000000"/>
        </w:rPr>
      </w:pPr>
    </w:p>
    <w:sectPr w:rsidR="00523F70" w:rsidRPr="007D37C0" w:rsidSect="00931FD1">
      <w:footerReference w:type="even" r:id="rId10"/>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2F8" w:rsidRDefault="00E542F8">
      <w:r>
        <w:separator/>
      </w:r>
    </w:p>
  </w:endnote>
  <w:endnote w:type="continuationSeparator" w:id="0">
    <w:p w:rsidR="00E542F8" w:rsidRDefault="00E54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文鼎中楷">
    <w:altName w:val="Arial Unicode MS"/>
    <w:charset w:val="88"/>
    <w:family w:val="modern"/>
    <w:pitch w:val="fixed"/>
    <w:sig w:usb0="00000000" w:usb1="38CF7C7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92" w:rsidRDefault="00931FD1" w:rsidP="00E92A37">
    <w:pPr>
      <w:pStyle w:val="a4"/>
      <w:framePr w:wrap="around" w:vAnchor="text" w:hAnchor="margin" w:xAlign="right" w:y="1"/>
      <w:rPr>
        <w:rStyle w:val="a5"/>
      </w:rPr>
    </w:pPr>
    <w:r>
      <w:rPr>
        <w:rStyle w:val="a5"/>
      </w:rPr>
      <w:fldChar w:fldCharType="begin"/>
    </w:r>
    <w:r w:rsidR="002C2592">
      <w:rPr>
        <w:rStyle w:val="a5"/>
      </w:rPr>
      <w:instrText xml:space="preserve">PAGE  </w:instrText>
    </w:r>
    <w:r>
      <w:rPr>
        <w:rStyle w:val="a5"/>
      </w:rPr>
      <w:fldChar w:fldCharType="end"/>
    </w:r>
  </w:p>
  <w:p w:rsidR="002C2592" w:rsidRDefault="002C2592" w:rsidP="007A3D2A">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92" w:rsidRDefault="00931FD1" w:rsidP="00E92A37">
    <w:pPr>
      <w:pStyle w:val="a4"/>
      <w:framePr w:wrap="around" w:vAnchor="text" w:hAnchor="margin" w:xAlign="right" w:y="1"/>
      <w:rPr>
        <w:rStyle w:val="a5"/>
      </w:rPr>
    </w:pPr>
    <w:r>
      <w:rPr>
        <w:rStyle w:val="a5"/>
      </w:rPr>
      <w:fldChar w:fldCharType="begin"/>
    </w:r>
    <w:r w:rsidR="002C2592">
      <w:rPr>
        <w:rStyle w:val="a5"/>
      </w:rPr>
      <w:instrText xml:space="preserve">PAGE  </w:instrText>
    </w:r>
    <w:r>
      <w:rPr>
        <w:rStyle w:val="a5"/>
      </w:rPr>
      <w:fldChar w:fldCharType="separate"/>
    </w:r>
    <w:r w:rsidR="000411D9">
      <w:rPr>
        <w:rStyle w:val="a5"/>
        <w:noProof/>
      </w:rPr>
      <w:t>2</w:t>
    </w:r>
    <w:r>
      <w:rPr>
        <w:rStyle w:val="a5"/>
      </w:rPr>
      <w:fldChar w:fldCharType="end"/>
    </w:r>
  </w:p>
  <w:p w:rsidR="002C2592" w:rsidRDefault="002C2592" w:rsidP="007A3D2A">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2F8" w:rsidRDefault="00E542F8">
      <w:r>
        <w:separator/>
      </w:r>
    </w:p>
  </w:footnote>
  <w:footnote w:type="continuationSeparator" w:id="0">
    <w:p w:rsidR="00E542F8" w:rsidRDefault="00E54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A6C"/>
    <w:multiLevelType w:val="hybridMultilevel"/>
    <w:tmpl w:val="0548FA8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314785"/>
    <w:multiLevelType w:val="hybridMultilevel"/>
    <w:tmpl w:val="1128930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38775D2"/>
    <w:multiLevelType w:val="hybridMultilevel"/>
    <w:tmpl w:val="C0CAB5F0"/>
    <w:lvl w:ilvl="0" w:tplc="45C86178">
      <w:start w:val="1"/>
      <w:numFmt w:val="decimal"/>
      <w:lvlText w:val="%1."/>
      <w:lvlJc w:val="left"/>
      <w:pPr>
        <w:ind w:left="360" w:hanging="360"/>
      </w:pPr>
      <w:rPr>
        <w:rFonts w:hAnsi="Times New Roman"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FA248E"/>
    <w:multiLevelType w:val="hybridMultilevel"/>
    <w:tmpl w:val="4EB8627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55E5EC9"/>
    <w:multiLevelType w:val="hybridMultilevel"/>
    <w:tmpl w:val="4270343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2C170F4"/>
    <w:multiLevelType w:val="hybridMultilevel"/>
    <w:tmpl w:val="3984F34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D9452A1"/>
    <w:multiLevelType w:val="hybridMultilevel"/>
    <w:tmpl w:val="737E0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5D439E1"/>
    <w:multiLevelType w:val="hybridMultilevel"/>
    <w:tmpl w:val="4C385CBE"/>
    <w:lvl w:ilvl="0" w:tplc="66A8C456">
      <w:start w:val="1"/>
      <w:numFmt w:val="decimal"/>
      <w:lvlText w:val="%1."/>
      <w:lvlJc w:val="left"/>
      <w:pPr>
        <w:tabs>
          <w:tab w:val="num" w:pos="480"/>
        </w:tabs>
        <w:ind w:left="480" w:hanging="480"/>
      </w:pPr>
      <w:rPr>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E2FCB"/>
    <w:multiLevelType w:val="hybridMultilevel"/>
    <w:tmpl w:val="2BDE441A"/>
    <w:lvl w:ilvl="0" w:tplc="23A6F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7851DB7"/>
    <w:multiLevelType w:val="hybridMultilevel"/>
    <w:tmpl w:val="467209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BF32657"/>
    <w:multiLevelType w:val="hybridMultilevel"/>
    <w:tmpl w:val="DABA8BD2"/>
    <w:lvl w:ilvl="0" w:tplc="BDD89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C317016"/>
    <w:multiLevelType w:val="singleLevel"/>
    <w:tmpl w:val="7B38743A"/>
    <w:lvl w:ilvl="0">
      <w:start w:val="1"/>
      <w:numFmt w:val="decimal"/>
      <w:lvlText w:val="%1."/>
      <w:lvlJc w:val="left"/>
      <w:pPr>
        <w:tabs>
          <w:tab w:val="num" w:pos="348"/>
        </w:tabs>
        <w:ind w:left="348" w:hanging="168"/>
      </w:pPr>
      <w:rPr>
        <w:rFonts w:ascii="文鼎中楷" w:hint="eastAsia"/>
      </w:rPr>
    </w:lvl>
  </w:abstractNum>
  <w:abstractNum w:abstractNumId="12">
    <w:nsid w:val="45423E50"/>
    <w:multiLevelType w:val="hybridMultilevel"/>
    <w:tmpl w:val="97AAF35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8216F18"/>
    <w:multiLevelType w:val="hybridMultilevel"/>
    <w:tmpl w:val="A0D48ACE"/>
    <w:lvl w:ilvl="0" w:tplc="0C78C4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07335F"/>
    <w:multiLevelType w:val="hybridMultilevel"/>
    <w:tmpl w:val="13308F1E"/>
    <w:lvl w:ilvl="0" w:tplc="6D1EA0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DA75287"/>
    <w:multiLevelType w:val="hybridMultilevel"/>
    <w:tmpl w:val="867CA8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28D23D6"/>
    <w:multiLevelType w:val="hybridMultilevel"/>
    <w:tmpl w:val="4E4C2770"/>
    <w:lvl w:ilvl="0" w:tplc="4296D348">
      <w:start w:val="1"/>
      <w:numFmt w:val="decimal"/>
      <w:lvlText w:val="%1."/>
      <w:lvlJc w:val="left"/>
      <w:pPr>
        <w:tabs>
          <w:tab w:val="num" w:pos="480"/>
        </w:tabs>
        <w:ind w:left="480" w:hanging="48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54993854"/>
    <w:multiLevelType w:val="hybridMultilevel"/>
    <w:tmpl w:val="75E657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1937D48"/>
    <w:multiLevelType w:val="hybridMultilevel"/>
    <w:tmpl w:val="F8F474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82B77E2"/>
    <w:multiLevelType w:val="hybridMultilevel"/>
    <w:tmpl w:val="45D461C6"/>
    <w:lvl w:ilvl="0" w:tplc="70E450E2">
      <w:start w:val="1"/>
      <w:numFmt w:val="decimal"/>
      <w:lvlText w:val="%1."/>
      <w:lvlJc w:val="left"/>
      <w:pPr>
        <w:ind w:left="360" w:hanging="360"/>
      </w:pPr>
      <w:rPr>
        <w:rFonts w:hint="default"/>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E1C74D5"/>
    <w:multiLevelType w:val="hybridMultilevel"/>
    <w:tmpl w:val="04E053E6"/>
    <w:lvl w:ilvl="0" w:tplc="36FEFC7C">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F7815EE"/>
    <w:multiLevelType w:val="hybridMultilevel"/>
    <w:tmpl w:val="F48899CC"/>
    <w:lvl w:ilvl="0" w:tplc="281035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04A096B"/>
    <w:multiLevelType w:val="hybridMultilevel"/>
    <w:tmpl w:val="E8A240C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70E41B71"/>
    <w:multiLevelType w:val="hybridMultilevel"/>
    <w:tmpl w:val="CC042D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28A6895"/>
    <w:multiLevelType w:val="hybridMultilevel"/>
    <w:tmpl w:val="9F8EA14E"/>
    <w:lvl w:ilvl="0" w:tplc="46BAE2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3E72828"/>
    <w:multiLevelType w:val="hybridMultilevel"/>
    <w:tmpl w:val="29888D98"/>
    <w:lvl w:ilvl="0" w:tplc="E92499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4C50D5D"/>
    <w:multiLevelType w:val="hybridMultilevel"/>
    <w:tmpl w:val="A164F728"/>
    <w:lvl w:ilvl="0" w:tplc="DE16B2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6876F5F"/>
    <w:multiLevelType w:val="hybridMultilevel"/>
    <w:tmpl w:val="DCE0356C"/>
    <w:lvl w:ilvl="0" w:tplc="F14C6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16"/>
  </w:num>
  <w:num w:numId="3">
    <w:abstractNumId w:val="12"/>
  </w:num>
  <w:num w:numId="4">
    <w:abstractNumId w:val="0"/>
  </w:num>
  <w:num w:numId="5">
    <w:abstractNumId w:val="7"/>
  </w:num>
  <w:num w:numId="6">
    <w:abstractNumId w:val="4"/>
  </w:num>
  <w:num w:numId="7">
    <w:abstractNumId w:val="3"/>
  </w:num>
  <w:num w:numId="8">
    <w:abstractNumId w:val="9"/>
  </w:num>
  <w:num w:numId="9">
    <w:abstractNumId w:val="1"/>
  </w:num>
  <w:num w:numId="10">
    <w:abstractNumId w:val="15"/>
  </w:num>
  <w:num w:numId="11">
    <w:abstractNumId w:val="6"/>
  </w:num>
  <w:num w:numId="12">
    <w:abstractNumId w:val="22"/>
  </w:num>
  <w:num w:numId="13">
    <w:abstractNumId w:val="17"/>
  </w:num>
  <w:num w:numId="14">
    <w:abstractNumId w:val="5"/>
  </w:num>
  <w:num w:numId="15">
    <w:abstractNumId w:val="23"/>
  </w:num>
  <w:num w:numId="16">
    <w:abstractNumId w:val="25"/>
  </w:num>
  <w:num w:numId="17">
    <w:abstractNumId w:val="14"/>
  </w:num>
  <w:num w:numId="18">
    <w:abstractNumId w:val="8"/>
  </w:num>
  <w:num w:numId="19">
    <w:abstractNumId w:val="2"/>
  </w:num>
  <w:num w:numId="20">
    <w:abstractNumId w:val="24"/>
  </w:num>
  <w:num w:numId="21">
    <w:abstractNumId w:val="20"/>
  </w:num>
  <w:num w:numId="22">
    <w:abstractNumId w:val="27"/>
  </w:num>
  <w:num w:numId="23">
    <w:abstractNumId w:val="21"/>
  </w:num>
  <w:num w:numId="24">
    <w:abstractNumId w:val="26"/>
  </w:num>
  <w:num w:numId="25">
    <w:abstractNumId w:val="19"/>
  </w:num>
  <w:num w:numId="26">
    <w:abstractNumId w:val="10"/>
  </w:num>
  <w:num w:numId="27">
    <w:abstractNumId w:val="1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4F38"/>
    <w:rsid w:val="000305D6"/>
    <w:rsid w:val="0004075B"/>
    <w:rsid w:val="000411D9"/>
    <w:rsid w:val="00051F96"/>
    <w:rsid w:val="00065B57"/>
    <w:rsid w:val="00065F5B"/>
    <w:rsid w:val="0007415B"/>
    <w:rsid w:val="000931DA"/>
    <w:rsid w:val="000B34FF"/>
    <w:rsid w:val="000D09D5"/>
    <w:rsid w:val="000E677C"/>
    <w:rsid w:val="00123A59"/>
    <w:rsid w:val="001375E5"/>
    <w:rsid w:val="00153397"/>
    <w:rsid w:val="00176DA1"/>
    <w:rsid w:val="0018132A"/>
    <w:rsid w:val="00186FCB"/>
    <w:rsid w:val="001879C9"/>
    <w:rsid w:val="00194D38"/>
    <w:rsid w:val="001C2ED1"/>
    <w:rsid w:val="001F334B"/>
    <w:rsid w:val="001F643C"/>
    <w:rsid w:val="002142FE"/>
    <w:rsid w:val="00214A1A"/>
    <w:rsid w:val="00234799"/>
    <w:rsid w:val="00256EAE"/>
    <w:rsid w:val="00283703"/>
    <w:rsid w:val="00291ABE"/>
    <w:rsid w:val="002A1841"/>
    <w:rsid w:val="002B0D8D"/>
    <w:rsid w:val="002C2592"/>
    <w:rsid w:val="002C47A9"/>
    <w:rsid w:val="002D132F"/>
    <w:rsid w:val="003011D5"/>
    <w:rsid w:val="003076EA"/>
    <w:rsid w:val="00317E34"/>
    <w:rsid w:val="00325570"/>
    <w:rsid w:val="003275D8"/>
    <w:rsid w:val="003334FD"/>
    <w:rsid w:val="003572DA"/>
    <w:rsid w:val="00362E78"/>
    <w:rsid w:val="00363C21"/>
    <w:rsid w:val="00375035"/>
    <w:rsid w:val="003851CE"/>
    <w:rsid w:val="003878F7"/>
    <w:rsid w:val="00395904"/>
    <w:rsid w:val="003968B4"/>
    <w:rsid w:val="003A52CE"/>
    <w:rsid w:val="003B1F1A"/>
    <w:rsid w:val="003D7D8E"/>
    <w:rsid w:val="004075FF"/>
    <w:rsid w:val="004159F7"/>
    <w:rsid w:val="00423B76"/>
    <w:rsid w:val="00444363"/>
    <w:rsid w:val="00455D60"/>
    <w:rsid w:val="00473415"/>
    <w:rsid w:val="00494494"/>
    <w:rsid w:val="0049694E"/>
    <w:rsid w:val="00496A9D"/>
    <w:rsid w:val="004C316F"/>
    <w:rsid w:val="004C592F"/>
    <w:rsid w:val="004D428E"/>
    <w:rsid w:val="004E2FE1"/>
    <w:rsid w:val="004E6F49"/>
    <w:rsid w:val="004F552D"/>
    <w:rsid w:val="004F77CD"/>
    <w:rsid w:val="005014AF"/>
    <w:rsid w:val="00523F70"/>
    <w:rsid w:val="00531E21"/>
    <w:rsid w:val="005508C5"/>
    <w:rsid w:val="005770FD"/>
    <w:rsid w:val="005825A8"/>
    <w:rsid w:val="00584FAF"/>
    <w:rsid w:val="005A20B2"/>
    <w:rsid w:val="005B34E9"/>
    <w:rsid w:val="005D63BF"/>
    <w:rsid w:val="00602C22"/>
    <w:rsid w:val="00615FDC"/>
    <w:rsid w:val="00623DAD"/>
    <w:rsid w:val="00663AAD"/>
    <w:rsid w:val="006C10EE"/>
    <w:rsid w:val="006C757A"/>
    <w:rsid w:val="006F09EA"/>
    <w:rsid w:val="006F7F5A"/>
    <w:rsid w:val="00711CA1"/>
    <w:rsid w:val="007131E9"/>
    <w:rsid w:val="007161EE"/>
    <w:rsid w:val="007212EE"/>
    <w:rsid w:val="00746252"/>
    <w:rsid w:val="00754F38"/>
    <w:rsid w:val="0075509A"/>
    <w:rsid w:val="00755E89"/>
    <w:rsid w:val="007639ED"/>
    <w:rsid w:val="0079383A"/>
    <w:rsid w:val="007A0AA5"/>
    <w:rsid w:val="007A3D2A"/>
    <w:rsid w:val="007A4FF0"/>
    <w:rsid w:val="007A7538"/>
    <w:rsid w:val="007D37C0"/>
    <w:rsid w:val="007E2F0A"/>
    <w:rsid w:val="00806C74"/>
    <w:rsid w:val="0081441D"/>
    <w:rsid w:val="00824372"/>
    <w:rsid w:val="0082614E"/>
    <w:rsid w:val="00840524"/>
    <w:rsid w:val="00852107"/>
    <w:rsid w:val="008601B7"/>
    <w:rsid w:val="00865198"/>
    <w:rsid w:val="008C20BE"/>
    <w:rsid w:val="008E09D4"/>
    <w:rsid w:val="008E0DA0"/>
    <w:rsid w:val="008E2EC6"/>
    <w:rsid w:val="008F1FFB"/>
    <w:rsid w:val="0092203F"/>
    <w:rsid w:val="00925D48"/>
    <w:rsid w:val="00930F18"/>
    <w:rsid w:val="00931FD1"/>
    <w:rsid w:val="00944590"/>
    <w:rsid w:val="00966E83"/>
    <w:rsid w:val="00967C09"/>
    <w:rsid w:val="00970201"/>
    <w:rsid w:val="00977E36"/>
    <w:rsid w:val="0098156E"/>
    <w:rsid w:val="00985D62"/>
    <w:rsid w:val="009A122E"/>
    <w:rsid w:val="009B5FEC"/>
    <w:rsid w:val="009E4C76"/>
    <w:rsid w:val="00A10A9B"/>
    <w:rsid w:val="00A11AFE"/>
    <w:rsid w:val="00A14C12"/>
    <w:rsid w:val="00A17EA2"/>
    <w:rsid w:val="00A30BB9"/>
    <w:rsid w:val="00A34B24"/>
    <w:rsid w:val="00A5216B"/>
    <w:rsid w:val="00A556DE"/>
    <w:rsid w:val="00A5620E"/>
    <w:rsid w:val="00A72E79"/>
    <w:rsid w:val="00AA2B70"/>
    <w:rsid w:val="00AE6D82"/>
    <w:rsid w:val="00B228DF"/>
    <w:rsid w:val="00B26038"/>
    <w:rsid w:val="00B2771D"/>
    <w:rsid w:val="00B45D5C"/>
    <w:rsid w:val="00B81299"/>
    <w:rsid w:val="00B9302E"/>
    <w:rsid w:val="00BB0654"/>
    <w:rsid w:val="00BB0B2B"/>
    <w:rsid w:val="00BB435C"/>
    <w:rsid w:val="00BD1221"/>
    <w:rsid w:val="00BE3D10"/>
    <w:rsid w:val="00BE7D14"/>
    <w:rsid w:val="00C04EEF"/>
    <w:rsid w:val="00C30288"/>
    <w:rsid w:val="00C43966"/>
    <w:rsid w:val="00C46BA1"/>
    <w:rsid w:val="00C741B6"/>
    <w:rsid w:val="00C801F0"/>
    <w:rsid w:val="00C94663"/>
    <w:rsid w:val="00C95004"/>
    <w:rsid w:val="00CA0A15"/>
    <w:rsid w:val="00CC15D6"/>
    <w:rsid w:val="00CF3E33"/>
    <w:rsid w:val="00D0647F"/>
    <w:rsid w:val="00D31F6A"/>
    <w:rsid w:val="00D345F6"/>
    <w:rsid w:val="00D40B62"/>
    <w:rsid w:val="00D428A2"/>
    <w:rsid w:val="00D453F3"/>
    <w:rsid w:val="00D86E9F"/>
    <w:rsid w:val="00D91DE3"/>
    <w:rsid w:val="00D972C3"/>
    <w:rsid w:val="00D97CF1"/>
    <w:rsid w:val="00DB3178"/>
    <w:rsid w:val="00DE2C08"/>
    <w:rsid w:val="00DF0D35"/>
    <w:rsid w:val="00E04064"/>
    <w:rsid w:val="00E1659F"/>
    <w:rsid w:val="00E167B6"/>
    <w:rsid w:val="00E2551F"/>
    <w:rsid w:val="00E306B1"/>
    <w:rsid w:val="00E4128C"/>
    <w:rsid w:val="00E42098"/>
    <w:rsid w:val="00E42B93"/>
    <w:rsid w:val="00E5098F"/>
    <w:rsid w:val="00E542F8"/>
    <w:rsid w:val="00E652D7"/>
    <w:rsid w:val="00E71488"/>
    <w:rsid w:val="00E72B2D"/>
    <w:rsid w:val="00E8279D"/>
    <w:rsid w:val="00E86236"/>
    <w:rsid w:val="00E92A37"/>
    <w:rsid w:val="00EA7E1A"/>
    <w:rsid w:val="00EB5068"/>
    <w:rsid w:val="00EB51A4"/>
    <w:rsid w:val="00EB5F4A"/>
    <w:rsid w:val="00ED456F"/>
    <w:rsid w:val="00EE08E9"/>
    <w:rsid w:val="00EE0C49"/>
    <w:rsid w:val="00EF656B"/>
    <w:rsid w:val="00F34230"/>
    <w:rsid w:val="00F34673"/>
    <w:rsid w:val="00F531F6"/>
    <w:rsid w:val="00F56992"/>
    <w:rsid w:val="00F7665C"/>
    <w:rsid w:val="00F777D3"/>
    <w:rsid w:val="00F91727"/>
    <w:rsid w:val="00F91A00"/>
    <w:rsid w:val="00FA4885"/>
    <w:rsid w:val="00FB465E"/>
    <w:rsid w:val="00FD4CEF"/>
    <w:rsid w:val="00FD5547"/>
    <w:rsid w:val="00FD598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F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A7538"/>
    <w:rPr>
      <w:color w:val="0000FF"/>
      <w:u w:val="single"/>
    </w:rPr>
  </w:style>
  <w:style w:type="paragraph" w:styleId="a4">
    <w:name w:val="footer"/>
    <w:basedOn w:val="a"/>
    <w:rsid w:val="007A3D2A"/>
    <w:pPr>
      <w:tabs>
        <w:tab w:val="center" w:pos="4153"/>
        <w:tab w:val="right" w:pos="8306"/>
      </w:tabs>
      <w:snapToGrid w:val="0"/>
    </w:pPr>
    <w:rPr>
      <w:sz w:val="20"/>
      <w:szCs w:val="20"/>
    </w:rPr>
  </w:style>
  <w:style w:type="character" w:styleId="a5">
    <w:name w:val="page number"/>
    <w:basedOn w:val="a0"/>
    <w:rsid w:val="007A3D2A"/>
  </w:style>
  <w:style w:type="character" w:customStyle="1" w:styleId="ti">
    <w:name w:val="ti"/>
    <w:basedOn w:val="a0"/>
    <w:rsid w:val="002C2592"/>
  </w:style>
  <w:style w:type="character" w:styleId="a6">
    <w:name w:val="Strong"/>
    <w:basedOn w:val="a0"/>
    <w:qFormat/>
    <w:rsid w:val="004F77CD"/>
    <w:rPr>
      <w:b/>
      <w:bCs/>
    </w:rPr>
  </w:style>
  <w:style w:type="paragraph" w:styleId="a7">
    <w:name w:val="Balloon Text"/>
    <w:basedOn w:val="a"/>
    <w:semiHidden/>
    <w:rsid w:val="00E2551F"/>
    <w:rPr>
      <w:rFonts w:ascii="Arial" w:hAnsi="Arial"/>
      <w:sz w:val="18"/>
      <w:szCs w:val="18"/>
    </w:rPr>
  </w:style>
  <w:style w:type="paragraph" w:styleId="a8">
    <w:name w:val="header"/>
    <w:basedOn w:val="a"/>
    <w:link w:val="a9"/>
    <w:rsid w:val="0098156E"/>
    <w:pPr>
      <w:tabs>
        <w:tab w:val="center" w:pos="4153"/>
        <w:tab w:val="right" w:pos="8306"/>
      </w:tabs>
      <w:snapToGrid w:val="0"/>
    </w:pPr>
    <w:rPr>
      <w:sz w:val="20"/>
      <w:szCs w:val="20"/>
    </w:rPr>
  </w:style>
  <w:style w:type="character" w:customStyle="1" w:styleId="a9">
    <w:name w:val="頁首 字元"/>
    <w:basedOn w:val="a0"/>
    <w:link w:val="a8"/>
    <w:rsid w:val="0098156E"/>
    <w:rPr>
      <w:kern w:val="2"/>
    </w:rPr>
  </w:style>
  <w:style w:type="character" w:customStyle="1" w:styleId="addmd1">
    <w:name w:val="addmd1"/>
    <w:basedOn w:val="a0"/>
    <w:rsid w:val="003968B4"/>
    <w:rPr>
      <w:rFonts w:ascii="Arial" w:hAnsi="Arial" w:cs="Arial" w:hint="default"/>
      <w:sz w:val="20"/>
      <w:szCs w:val="20"/>
    </w:rPr>
  </w:style>
  <w:style w:type="paragraph" w:styleId="Web">
    <w:name w:val="Normal (Web)"/>
    <w:basedOn w:val="a"/>
    <w:uiPriority w:val="99"/>
    <w:unhideWhenUsed/>
    <w:rsid w:val="003968B4"/>
    <w:pPr>
      <w:widowControl/>
      <w:spacing w:before="100" w:beforeAutospacing="1" w:after="100" w:afterAutospacing="1"/>
    </w:pPr>
    <w:rPr>
      <w:rFonts w:ascii="新細明體" w:hAnsi="新細明體" w:cs="新細明體"/>
      <w:color w:val="000000"/>
      <w:kern w:val="0"/>
    </w:rPr>
  </w:style>
</w:styles>
</file>

<file path=word/webSettings.xml><?xml version="1.0" encoding="utf-8"?>
<w:webSettings xmlns:r="http://schemas.openxmlformats.org/officeDocument/2006/relationships" xmlns:w="http://schemas.openxmlformats.org/wordprocessingml/2006/main">
  <w:divs>
    <w:div w:id="993874780">
      <w:bodyDiv w:val="1"/>
      <w:marLeft w:val="0"/>
      <w:marRight w:val="0"/>
      <w:marTop w:val="0"/>
      <w:marBottom w:val="0"/>
      <w:divBdr>
        <w:top w:val="none" w:sz="0" w:space="0" w:color="auto"/>
        <w:left w:val="none" w:sz="0" w:space="0" w:color="auto"/>
        <w:bottom w:val="none" w:sz="0" w:space="0" w:color="auto"/>
        <w:right w:val="none" w:sz="0" w:space="0" w:color="auto"/>
      </w:divBdr>
      <w:divsChild>
        <w:div w:id="1744444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wu88@nt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ybooks.com/articles/123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B3F88-8F1A-4101-93B0-22FA1418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Links>
    <vt:vector size="6" baseType="variant">
      <vt:variant>
        <vt:i4>6881307</vt:i4>
      </vt:variant>
      <vt:variant>
        <vt:i4>0</vt:i4>
      </vt:variant>
      <vt:variant>
        <vt:i4>0</vt:i4>
      </vt:variant>
      <vt:variant>
        <vt:i4>5</vt:i4>
      </vt:variant>
      <vt:variant>
        <vt:lpwstr>mailto:ccwu88@ntu.edu.tw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精神醫學與法律專題研究</dc:title>
  <dc:creator>User</dc:creator>
  <cp:lastModifiedBy>Wu</cp:lastModifiedBy>
  <cp:revision>4</cp:revision>
  <cp:lastPrinted>2008-02-20T05:23:00Z</cp:lastPrinted>
  <dcterms:created xsi:type="dcterms:W3CDTF">2011-08-17T01:28:00Z</dcterms:created>
  <dcterms:modified xsi:type="dcterms:W3CDTF">2011-08-17T03:38:00Z</dcterms:modified>
</cp:coreProperties>
</file>