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9" w:rsidRPr="00B51C1E" w:rsidRDefault="00A74F29" w:rsidP="00D21E92">
      <w:pPr>
        <w:ind w:firstLineChars="250" w:firstLine="31680"/>
        <w:rPr>
          <w:rFonts w:ascii="標楷體" w:eastAsia="標楷體"/>
          <w:b/>
          <w:bCs/>
          <w:color w:val="000000"/>
          <w:sz w:val="32"/>
          <w:szCs w:val="32"/>
        </w:rPr>
      </w:pP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國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立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臺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灣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大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學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開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授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課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程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大</w:t>
      </w:r>
      <w:r w:rsidRPr="00B51C1E">
        <w:rPr>
          <w:rFonts w:ascii="標楷體" w:eastAsia="標楷體" w:cs="標楷體"/>
          <w:b/>
          <w:bCs/>
          <w:color w:val="000000"/>
          <w:sz w:val="32"/>
          <w:szCs w:val="32"/>
        </w:rPr>
        <w:t xml:space="preserve">  </w:t>
      </w:r>
      <w:r w:rsidRPr="00B51C1E">
        <w:rPr>
          <w:rFonts w:ascii="標楷體" w:eastAsia="標楷體" w:cs="標楷體" w:hint="eastAsia"/>
          <w:b/>
          <w:bCs/>
          <w:color w:val="000000"/>
          <w:sz w:val="32"/>
          <w:szCs w:val="32"/>
        </w:rPr>
        <w:t>綱</w:t>
      </w:r>
    </w:p>
    <w:tbl>
      <w:tblPr>
        <w:tblW w:w="9552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8"/>
        <w:gridCol w:w="612"/>
        <w:gridCol w:w="2172"/>
        <w:gridCol w:w="2520"/>
        <w:gridCol w:w="3120"/>
      </w:tblGrid>
      <w:tr w:rsidR="00A74F29" w:rsidRPr="00B51C1E">
        <w:trPr>
          <w:trHeight w:val="469"/>
        </w:trPr>
        <w:tc>
          <w:tcPr>
            <w:tcW w:w="1128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開課系所</w:t>
            </w:r>
          </w:p>
        </w:tc>
        <w:tc>
          <w:tcPr>
            <w:tcW w:w="612" w:type="dxa"/>
          </w:tcPr>
          <w:p w:rsidR="00A74F29" w:rsidRPr="00B51C1E" w:rsidRDefault="00A74F29" w:rsidP="004F1140">
            <w:pPr>
              <w:rPr>
                <w:rFonts w:ascii="細明體" w:eastAsia="細明體" w:cs="細明體"/>
                <w:color w:val="000000"/>
              </w:rPr>
            </w:pPr>
            <w:r w:rsidRPr="00B51C1E">
              <w:rPr>
                <w:rFonts w:ascii="細明體" w:eastAsia="細明體" w:cs="細明體"/>
                <w:color w:val="000000"/>
              </w:rPr>
              <w:t>1010</w:t>
            </w:r>
          </w:p>
        </w:tc>
        <w:tc>
          <w:tcPr>
            <w:tcW w:w="7812" w:type="dxa"/>
            <w:gridSpan w:val="3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中文系</w:t>
            </w:r>
          </w:p>
        </w:tc>
      </w:tr>
      <w:tr w:rsidR="00A74F29" w:rsidRPr="00B51C1E">
        <w:trPr>
          <w:cantSplit/>
          <w:trHeight w:val="804"/>
        </w:trPr>
        <w:tc>
          <w:tcPr>
            <w:tcW w:w="1128" w:type="dxa"/>
            <w:vMerge w:val="restart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</w:p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課</w:t>
            </w:r>
            <w:r w:rsidRPr="00B51C1E">
              <w:rPr>
                <w:rFonts w:ascii="細明體" w:eastAsia="細明體" w:cs="細明體"/>
                <w:color w:val="000000"/>
              </w:rPr>
              <w:t xml:space="preserve">    </w:t>
            </w:r>
            <w:r w:rsidRPr="00B51C1E">
              <w:rPr>
                <w:rFonts w:ascii="細明體" w:eastAsia="細明體" w:cs="細明體" w:hint="eastAsia"/>
                <w:color w:val="000000"/>
              </w:rPr>
              <w:t>程</w:t>
            </w:r>
          </w:p>
        </w:tc>
        <w:tc>
          <w:tcPr>
            <w:tcW w:w="2784" w:type="dxa"/>
            <w:gridSpan w:val="2"/>
          </w:tcPr>
          <w:p w:rsidR="00A74F29" w:rsidRPr="00B51C1E" w:rsidRDefault="00A74F29" w:rsidP="004F1140">
            <w:pPr>
              <w:rPr>
                <w:rFonts w:ascii="細明體" w:eastAsia="細明體" w:cs="細明體"/>
                <w:color w:val="000000"/>
              </w:rPr>
            </w:pPr>
            <w:r w:rsidRPr="00B51C1E">
              <w:rPr>
                <w:rFonts w:ascii="細明體" w:eastAsia="細明體" w:hAnsi="Wingdings" w:hint="eastAsia"/>
                <w:color w:val="000000"/>
              </w:rPr>
              <w:sym w:font="Wingdings" w:char="F0FE"/>
            </w:r>
            <w:r w:rsidRPr="00B51C1E">
              <w:rPr>
                <w:rFonts w:ascii="細明體" w:eastAsia="細明體" w:cs="細明體"/>
                <w:color w:val="000000"/>
              </w:rPr>
              <w:t xml:space="preserve"> </w:t>
            </w:r>
            <w:r w:rsidRPr="00B51C1E">
              <w:rPr>
                <w:rFonts w:ascii="細明體" w:eastAsia="細明體" w:cs="細明體" w:hint="eastAsia"/>
                <w:color w:val="000000"/>
              </w:rPr>
              <w:t>一般課程：□</w:t>
            </w:r>
            <w:r w:rsidRPr="00B51C1E">
              <w:rPr>
                <w:rFonts w:ascii="細明體" w:eastAsia="細明體" w:cs="細明體"/>
                <w:color w:val="000000"/>
              </w:rPr>
              <w:t>1.</w:t>
            </w:r>
            <w:r w:rsidRPr="00B51C1E">
              <w:rPr>
                <w:rFonts w:ascii="細明體" w:eastAsia="細明體" w:cs="細明體" w:hint="eastAsia"/>
                <w:color w:val="000000"/>
              </w:rPr>
              <w:t>必修</w:t>
            </w:r>
            <w:r w:rsidRPr="00B51C1E">
              <w:rPr>
                <w:rFonts w:ascii="細明體" w:eastAsia="細明體" w:cs="細明體"/>
                <w:color w:val="000000"/>
              </w:rPr>
              <w:t xml:space="preserve">                          </w:t>
            </w:r>
          </w:p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/>
                <w:color w:val="000000"/>
              </w:rPr>
              <w:t xml:space="preserve">             </w:t>
            </w:r>
            <w:r w:rsidRPr="00B51C1E">
              <w:rPr>
                <w:rFonts w:ascii="細明體" w:eastAsia="細明體" w:hAnsi="Wingdings" w:hint="eastAsia"/>
                <w:color w:val="000000"/>
              </w:rPr>
              <w:sym w:font="Wingdings" w:char="F0FE"/>
            </w:r>
            <w:r w:rsidRPr="00B51C1E">
              <w:rPr>
                <w:rFonts w:ascii="細明體" w:eastAsia="細明體" w:cs="細明體"/>
                <w:color w:val="000000"/>
              </w:rPr>
              <w:t>2.</w:t>
            </w:r>
            <w:r w:rsidRPr="00B51C1E">
              <w:rPr>
                <w:rFonts w:ascii="細明體" w:eastAsia="細明體" w:cs="細明體" w:hint="eastAsia"/>
                <w:color w:val="000000"/>
              </w:rPr>
              <w:t>選修</w:t>
            </w:r>
          </w:p>
        </w:tc>
        <w:tc>
          <w:tcPr>
            <w:tcW w:w="2520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hAnsi="Wingdings" w:hint="eastAsia"/>
                <w:color w:val="000000"/>
              </w:rPr>
              <w:sym w:font="Wingdings" w:char="F0FE"/>
            </w:r>
            <w:r w:rsidRPr="00B51C1E">
              <w:rPr>
                <w:rFonts w:ascii="細明體" w:eastAsia="細明體" w:cs="細明體"/>
                <w:color w:val="000000"/>
              </w:rPr>
              <w:t xml:space="preserve"> </w:t>
            </w:r>
            <w:r w:rsidRPr="00B51C1E">
              <w:rPr>
                <w:rFonts w:ascii="細明體" w:eastAsia="細明體" w:cs="細明體" w:hint="eastAsia"/>
                <w:color w:val="000000"/>
              </w:rPr>
              <w:t>通識課程：人文學</w:t>
            </w:r>
          </w:p>
        </w:tc>
        <w:tc>
          <w:tcPr>
            <w:tcW w:w="3120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□</w:t>
            </w:r>
            <w:r w:rsidRPr="00B51C1E">
              <w:rPr>
                <w:rFonts w:ascii="細明體" w:eastAsia="細明體" w:cs="細明體"/>
                <w:color w:val="000000"/>
              </w:rPr>
              <w:t xml:space="preserve"> </w:t>
            </w:r>
            <w:r w:rsidRPr="00B51C1E">
              <w:rPr>
                <w:rFonts w:ascii="細明體" w:eastAsia="細明體" w:cs="細明體" w:hint="eastAsia"/>
                <w:color w:val="000000"/>
              </w:rPr>
              <w:t>教育學程</w:t>
            </w:r>
          </w:p>
        </w:tc>
      </w:tr>
      <w:tr w:rsidR="00A74F29" w:rsidRPr="00B51C1E">
        <w:trPr>
          <w:cantSplit/>
          <w:trHeight w:val="607"/>
        </w:trPr>
        <w:tc>
          <w:tcPr>
            <w:tcW w:w="1128" w:type="dxa"/>
            <w:vMerge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A74F29" w:rsidRPr="00B51C1E" w:rsidRDefault="00A74F29" w:rsidP="004F1140">
            <w:pPr>
              <w:rPr>
                <w:rFonts w:ascii="細明體" w:eastAsia="細明體" w:cs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課號：</w:t>
            </w:r>
            <w:r w:rsidRPr="00B51C1E">
              <w:rPr>
                <w:rFonts w:ascii="細明體" w:eastAsia="細明體" w:cs="細明體"/>
                <w:color w:val="000000"/>
              </w:rPr>
              <w:t xml:space="preserve">101 </w:t>
            </w:r>
            <w:r>
              <w:rPr>
                <w:rFonts w:ascii="細明體" w:eastAsia="細明體" w:cs="細明體"/>
                <w:color w:val="000000"/>
              </w:rPr>
              <w:t>35801</w:t>
            </w:r>
            <w:r w:rsidRPr="00B51C1E">
              <w:rPr>
                <w:rFonts w:ascii="細明體" w:eastAsia="細明體" w:cs="細明體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班次：</w:t>
            </w:r>
          </w:p>
        </w:tc>
        <w:tc>
          <w:tcPr>
            <w:tcW w:w="3120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學分：</w:t>
            </w:r>
            <w:r>
              <w:rPr>
                <w:rFonts w:ascii="細明體" w:eastAsia="細明體" w:cs="細明體"/>
                <w:color w:val="000000"/>
              </w:rPr>
              <w:t>2/2</w:t>
            </w:r>
          </w:p>
        </w:tc>
      </w:tr>
      <w:tr w:rsidR="00A74F29" w:rsidRPr="00B51C1E">
        <w:trPr>
          <w:cantSplit/>
          <w:trHeight w:val="524"/>
        </w:trPr>
        <w:tc>
          <w:tcPr>
            <w:tcW w:w="1128" w:type="dxa"/>
            <w:vMerge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</w:p>
        </w:tc>
        <w:tc>
          <w:tcPr>
            <w:tcW w:w="8424" w:type="dxa"/>
            <w:gridSpan w:val="4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名稱：</w:t>
            </w:r>
            <w:r>
              <w:rPr>
                <w:rFonts w:ascii="細明體" w:eastAsia="細明體" w:cs="細明體" w:hint="eastAsia"/>
                <w:color w:val="000000"/>
              </w:rPr>
              <w:t>二十二史的鼻祖：</w:t>
            </w:r>
            <w:r w:rsidRPr="00B51C1E">
              <w:rPr>
                <w:rFonts w:cs="新細明體" w:hint="eastAsia"/>
                <w:color w:val="000000"/>
              </w:rPr>
              <w:t>漢書</w:t>
            </w:r>
            <w:r>
              <w:rPr>
                <w:rFonts w:cs="新細明體" w:hint="eastAsia"/>
                <w:color w:val="000000"/>
              </w:rPr>
              <w:t>上</w:t>
            </w:r>
          </w:p>
        </w:tc>
      </w:tr>
      <w:tr w:rsidR="00A74F29" w:rsidRPr="00B51C1E">
        <w:trPr>
          <w:trHeight w:val="459"/>
        </w:trPr>
        <w:tc>
          <w:tcPr>
            <w:tcW w:w="1128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>授課教師</w:t>
            </w:r>
          </w:p>
        </w:tc>
        <w:tc>
          <w:tcPr>
            <w:tcW w:w="8424" w:type="dxa"/>
            <w:gridSpan w:val="4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cs="新細明體" w:hint="eastAsia"/>
                <w:color w:val="000000"/>
              </w:rPr>
              <w:t>宋淑萍</w:t>
            </w:r>
          </w:p>
        </w:tc>
      </w:tr>
      <w:tr w:rsidR="00A74F29" w:rsidRPr="00B51C1E">
        <w:trPr>
          <w:trHeight w:val="10697"/>
        </w:trPr>
        <w:tc>
          <w:tcPr>
            <w:tcW w:w="1128" w:type="dxa"/>
          </w:tcPr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  <w:r w:rsidRPr="00B51C1E">
              <w:rPr>
                <w:rFonts w:ascii="細明體" w:eastAsia="細明體" w:cs="細明體" w:hint="eastAsia"/>
                <w:color w:val="000000"/>
              </w:rPr>
              <w:t xml:space="preserve">課程大綱內　　容　</w:t>
            </w:r>
          </w:p>
        </w:tc>
        <w:tc>
          <w:tcPr>
            <w:tcW w:w="8424" w:type="dxa"/>
            <w:gridSpan w:val="4"/>
          </w:tcPr>
          <w:p w:rsidR="00A74F29" w:rsidRPr="00B51C1E" w:rsidRDefault="00A74F29" w:rsidP="004F1140">
            <w:pPr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color w:val="000000"/>
              </w:rPr>
            </w:pPr>
            <w:r w:rsidRPr="00B51C1E">
              <w:rPr>
                <w:rFonts w:ascii="超研澤粗魏碑" w:eastAsia="超研澤粗魏碑" w:cs="超研澤粗魏碑" w:hint="eastAsia"/>
                <w:b/>
                <w:bCs/>
                <w:color w:val="000000"/>
              </w:rPr>
              <w:t>課程目的：</w:t>
            </w:r>
            <w:r w:rsidRPr="00B51C1E">
              <w:rPr>
                <w:rFonts w:cs="新細明體" w:hint="eastAsia"/>
                <w:color w:val="000000"/>
              </w:rPr>
              <w:t>論中國史書，史記、漢書無人不曉。史記為通史，然而詳於漢興百年間事，漢書記漢兩百多年事；范曄後漢書班固傳贊以「遷文直而事覈，固文赡而事詳。」皆為「良史」。本課程擬以漢書選讀為主，間以史記相對照，以見班固刪潤舊文、別出新裁者，非儘「剽竊」也。此種兩相對照之研讀，可判史漢之高下，亦可於推敲、損益中習得文章之法。</w:t>
            </w:r>
          </w:p>
          <w:p w:rsidR="00A74F29" w:rsidRPr="00B51C1E" w:rsidRDefault="00A74F29" w:rsidP="004F1140">
            <w:pPr>
              <w:adjustRightInd/>
              <w:spacing w:line="240" w:lineRule="auto"/>
              <w:ind w:left="360"/>
              <w:textAlignment w:val="auto"/>
              <w:rPr>
                <w:rFonts w:ascii="超研澤粗魏碑" w:eastAsia="超研澤粗魏碑"/>
                <w:b/>
                <w:bCs/>
                <w:color w:val="000000"/>
              </w:rPr>
            </w:pPr>
            <w:r w:rsidRPr="00B51C1E">
              <w:rPr>
                <w:rFonts w:ascii="超研澤粗魏碑" w:eastAsia="超研澤粗魏碑" w:cs="超研澤粗魏碑" w:hint="eastAsia"/>
                <w:b/>
                <w:bCs/>
                <w:color w:val="000000"/>
              </w:rPr>
              <w:t>二、講授大綱：</w:t>
            </w:r>
          </w:p>
          <w:p w:rsidR="00A74F29" w:rsidRPr="00B51C1E" w:rsidRDefault="00A74F29" w:rsidP="004F1140">
            <w:pPr>
              <w:rPr>
                <w:color w:val="000000"/>
              </w:rPr>
            </w:pPr>
            <w:r w:rsidRPr="00B51C1E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上學期：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第一週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前言</w:t>
            </w:r>
            <w:r w:rsidRPr="00B51C1E">
              <w:rPr>
                <w:color w:val="000000"/>
              </w:rPr>
              <w:t xml:space="preserve">   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 w:rsidRPr="00B51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>
              <w:rPr>
                <w:rFonts w:cs="新細明體" w:hint="eastAsia"/>
                <w:color w:val="000000"/>
              </w:rPr>
              <w:t>第二週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高帝紀（上）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第三週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高帝紀（上）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第四週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高帝紀（上）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第五週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高帝紀（上）</w:t>
            </w:r>
            <w:r>
              <w:rPr>
                <w:color w:val="000000"/>
              </w:rPr>
              <w:t xml:space="preserve"> 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第六週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高帝紀（下）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第七週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高帝紀（下）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第八週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高帝紀（下）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第九週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高后紀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高后紀</w:t>
            </w:r>
          </w:p>
          <w:p w:rsidR="00A74F29" w:rsidRDefault="00A74F29" w:rsidP="00A74F29">
            <w:pPr>
              <w:ind w:leftChars="200" w:left="31680" w:firstLineChars="150" w:firstLine="31680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第十一週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期中考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第十二週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項籍傳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第十三週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項籍傳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第十四週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項籍傳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第十五週</w:t>
            </w:r>
            <w:r>
              <w:rPr>
                <w:color w:val="000000"/>
              </w:rPr>
              <w:t xml:space="preserve">     </w:t>
            </w:r>
            <w:r>
              <w:rPr>
                <w:rFonts w:cs="新細明體" w:hint="eastAsia"/>
                <w:color w:val="000000"/>
              </w:rPr>
              <w:t>韓信、</w:t>
            </w:r>
            <w:r w:rsidRPr="00B51C1E">
              <w:rPr>
                <w:rFonts w:cs="新細明體" w:hint="eastAsia"/>
                <w:color w:val="000000"/>
              </w:rPr>
              <w:t>蒯通</w:t>
            </w:r>
            <w:r>
              <w:rPr>
                <w:rFonts w:cs="新細明體" w:hint="eastAsia"/>
                <w:color w:val="000000"/>
              </w:rPr>
              <w:t>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第十六週</w:t>
            </w:r>
            <w:r>
              <w:rPr>
                <w:color w:val="000000"/>
              </w:rPr>
              <w:t xml:space="preserve">     </w:t>
            </w:r>
            <w:r>
              <w:rPr>
                <w:rFonts w:cs="新細明體" w:hint="eastAsia"/>
                <w:color w:val="000000"/>
              </w:rPr>
              <w:t>韓信、</w:t>
            </w:r>
            <w:r w:rsidRPr="00B51C1E">
              <w:rPr>
                <w:rFonts w:cs="新細明體" w:hint="eastAsia"/>
                <w:color w:val="000000"/>
              </w:rPr>
              <w:t>蒯通</w:t>
            </w:r>
            <w:r>
              <w:rPr>
                <w:rFonts w:cs="新細明體" w:hint="eastAsia"/>
                <w:color w:val="000000"/>
              </w:rPr>
              <w:t>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第十七週</w:t>
            </w:r>
            <w:r>
              <w:rPr>
                <w:color w:val="000000"/>
              </w:rPr>
              <w:t xml:space="preserve">     </w:t>
            </w:r>
            <w:r>
              <w:rPr>
                <w:rFonts w:cs="新細明體" w:hint="eastAsia"/>
                <w:color w:val="000000"/>
              </w:rPr>
              <w:t>韓信、</w:t>
            </w:r>
            <w:r w:rsidRPr="00B51C1E">
              <w:rPr>
                <w:rFonts w:cs="新細明體" w:hint="eastAsia"/>
                <w:color w:val="000000"/>
              </w:rPr>
              <w:t>蒯通</w:t>
            </w:r>
            <w:r>
              <w:rPr>
                <w:rFonts w:cs="新細明體" w:hint="eastAsia"/>
                <w:color w:val="000000"/>
              </w:rPr>
              <w:t>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第十八週</w:t>
            </w:r>
            <w:r>
              <w:rPr>
                <w:color w:val="000000"/>
              </w:rPr>
              <w:t xml:space="preserve">     </w:t>
            </w:r>
            <w:r>
              <w:rPr>
                <w:rFonts w:cs="新細明體" w:hint="eastAsia"/>
                <w:color w:val="000000"/>
              </w:rPr>
              <w:t>韓信、</w:t>
            </w:r>
            <w:r w:rsidRPr="00B51C1E">
              <w:rPr>
                <w:rFonts w:cs="新細明體" w:hint="eastAsia"/>
                <w:color w:val="000000"/>
              </w:rPr>
              <w:t>蒯通</w:t>
            </w:r>
            <w:r>
              <w:rPr>
                <w:rFonts w:cs="新細明體" w:hint="eastAsia"/>
                <w:color w:val="000000"/>
              </w:rPr>
              <w:t>傳</w:t>
            </w:r>
          </w:p>
          <w:p w:rsidR="00A74F29" w:rsidRPr="001F1EF0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A74F29" w:rsidRPr="00B51C1E" w:rsidRDefault="00A74F29" w:rsidP="00A74F29">
            <w:pPr>
              <w:ind w:leftChars="200" w:left="31680"/>
              <w:rPr>
                <w:color w:val="000000"/>
              </w:rPr>
            </w:pPr>
            <w:r w:rsidRPr="00B51C1E">
              <w:rPr>
                <w:rFonts w:cs="新細明體" w:hint="eastAsia"/>
                <w:color w:val="000000"/>
              </w:rPr>
              <w:t>高帝紀、高后紀、項籍傳、韓信傳、蒯通傳，以上五篇皆逐字精讀，以期提升古文閱讀能力。每篇精審了解後，即分發相關之史記篇章：高祖本紀、呂后本紀、項羽本紀及淮陰侯列傳，史漢相對照，文字敘事之功力、史事裁剪之當否，立見高下；而在研讀比較中，必使讀者了然於心、進而心領神會，對個人之識見胸襟、下筆功力，必有助益。</w:t>
            </w:r>
            <w:r w:rsidRPr="00B51C1E">
              <w:rPr>
                <w:color w:val="000000"/>
              </w:rPr>
              <w:t xml:space="preserve">  </w:t>
            </w:r>
          </w:p>
          <w:p w:rsidR="00A74F29" w:rsidRPr="00B51C1E" w:rsidRDefault="00A74F29" w:rsidP="004F1140">
            <w:pPr>
              <w:rPr>
                <w:color w:val="000000"/>
              </w:rPr>
            </w:pPr>
            <w:r w:rsidRPr="00B51C1E">
              <w:rPr>
                <w:color w:val="000000"/>
              </w:rPr>
              <w:t xml:space="preserve">      </w:t>
            </w:r>
            <w:r w:rsidRPr="00B51C1E">
              <w:rPr>
                <w:rFonts w:cs="新細明體" w:hint="eastAsia"/>
                <w:color w:val="000000"/>
              </w:rPr>
              <w:t>下學期：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第一週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陳平傳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 w:rsidRPr="00B51C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>
              <w:rPr>
                <w:rFonts w:cs="新細明體" w:hint="eastAsia"/>
                <w:color w:val="000000"/>
              </w:rPr>
              <w:t>第二週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陳平傳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第三週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張釋之傳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第四週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張釋之傳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第五週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張釋之傳</w:t>
            </w:r>
            <w:r>
              <w:rPr>
                <w:color w:val="000000"/>
              </w:rPr>
              <w:t xml:space="preserve"> 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第六週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馮唐傳</w:t>
            </w:r>
          </w:p>
          <w:p w:rsidR="00A74F29" w:rsidRPr="001F1EF0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第七週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李廣、李陵傳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第八週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李廣、李陵傳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第九週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李廣、李陵傳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李廣、李陵傳</w:t>
            </w:r>
          </w:p>
          <w:p w:rsidR="00A74F29" w:rsidRDefault="00A74F29" w:rsidP="00A74F29">
            <w:pPr>
              <w:ind w:leftChars="200" w:left="31680" w:firstLineChars="150" w:firstLine="31680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第十一週</w:t>
            </w:r>
            <w:r>
              <w:rPr>
                <w:color w:val="000000"/>
              </w:rPr>
              <w:t xml:space="preserve">   </w:t>
            </w:r>
            <w:r>
              <w:rPr>
                <w:rFonts w:cs="新細明體" w:hint="eastAsia"/>
                <w:color w:val="000000"/>
              </w:rPr>
              <w:t>期中考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第十二週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司馬遷傳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第十三週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司馬遷傳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第十四週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司馬遷傳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第十五週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楊敞、楊惲傳</w:t>
            </w:r>
            <w:r>
              <w:rPr>
                <w:color w:val="000000"/>
              </w:rPr>
              <w:t xml:space="preserve">  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第十六週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游俠傳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第十七週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游俠傳</w:t>
            </w:r>
          </w:p>
          <w:p w:rsidR="00A74F29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cs="新細明體" w:hint="eastAsia"/>
                <w:color w:val="000000"/>
              </w:rPr>
              <w:t>第十八週</w:t>
            </w:r>
            <w:r>
              <w:rPr>
                <w:color w:val="000000"/>
              </w:rPr>
              <w:t xml:space="preserve">    </w:t>
            </w:r>
            <w:r>
              <w:rPr>
                <w:rFonts w:cs="新細明體" w:hint="eastAsia"/>
                <w:color w:val="000000"/>
              </w:rPr>
              <w:t>游俠傳</w:t>
            </w:r>
          </w:p>
          <w:p w:rsidR="00A74F29" w:rsidRPr="001F1EF0" w:rsidRDefault="00A74F29" w:rsidP="00A74F29">
            <w:pPr>
              <w:ind w:left="31680" w:hangingChars="200" w:firstLine="31680"/>
              <w:rPr>
                <w:color w:val="000000"/>
              </w:rPr>
            </w:pPr>
          </w:p>
          <w:p w:rsidR="00A74F29" w:rsidRPr="00B51C1E" w:rsidRDefault="00A74F29" w:rsidP="00A74F29">
            <w:pPr>
              <w:ind w:left="31680" w:hangingChars="2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B51C1E">
              <w:rPr>
                <w:rFonts w:cs="新細明體" w:hint="eastAsia"/>
                <w:color w:val="000000"/>
              </w:rPr>
              <w:t>陳平傳、張釋之傳、馮唐傳、李廣傳、司馬遷傳、楊敞傳、遊俠傳，仔細研讀；並與史記相關篇章做比較。</w:t>
            </w:r>
          </w:p>
          <w:p w:rsidR="00A74F29" w:rsidRPr="00B51C1E" w:rsidRDefault="00A74F29" w:rsidP="004F1140">
            <w:pPr>
              <w:adjustRightInd/>
              <w:spacing w:line="240" w:lineRule="auto"/>
              <w:ind w:left="360"/>
              <w:textAlignment w:val="auto"/>
              <w:rPr>
                <w:rFonts w:ascii="超研澤粗魏碑" w:eastAsia="超研澤粗魏碑"/>
                <w:b/>
                <w:bCs/>
                <w:color w:val="000000"/>
              </w:rPr>
            </w:pPr>
            <w:r w:rsidRPr="00B51C1E">
              <w:rPr>
                <w:rFonts w:ascii="超研澤粗魏碑" w:eastAsia="超研澤粗魏碑" w:cs="超研澤粗魏碑" w:hint="eastAsia"/>
                <w:b/>
                <w:bCs/>
                <w:color w:val="000000"/>
              </w:rPr>
              <w:t>三、指定課本及參考書</w:t>
            </w:r>
          </w:p>
          <w:p w:rsidR="00A74F29" w:rsidRPr="00B51C1E" w:rsidRDefault="00A74F29" w:rsidP="004F1140">
            <w:pPr>
              <w:pStyle w:val="ListBullet"/>
              <w:numPr>
                <w:ilvl w:val="0"/>
                <w:numId w:val="0"/>
              </w:numPr>
              <w:ind w:left="480"/>
              <w:rPr>
                <w:color w:val="000000"/>
              </w:rPr>
            </w:pPr>
            <w:r w:rsidRPr="00B51C1E">
              <w:rPr>
                <w:rFonts w:cs="新細明體" w:hint="eastAsia"/>
                <w:color w:val="000000"/>
              </w:rPr>
              <w:t>指定課本：</w:t>
            </w:r>
            <w:r>
              <w:rPr>
                <w:rFonts w:cs="新細明體" w:hint="eastAsia"/>
                <w:color w:val="000000"/>
              </w:rPr>
              <w:t>斷句本</w:t>
            </w:r>
            <w:r w:rsidRPr="00B51C1E">
              <w:rPr>
                <w:rFonts w:cs="新細明體" w:hint="eastAsia"/>
                <w:color w:val="000000"/>
              </w:rPr>
              <w:t>漢書</w:t>
            </w:r>
            <w:r>
              <w:rPr>
                <w:rFonts w:cs="新細明體" w:hint="eastAsia"/>
                <w:color w:val="000000"/>
              </w:rPr>
              <w:t>補注</w:t>
            </w:r>
            <w:r w:rsidRPr="00B51C1E">
              <w:rPr>
                <w:color w:val="000000"/>
              </w:rPr>
              <w:t xml:space="preserve">  </w:t>
            </w:r>
            <w:r>
              <w:rPr>
                <w:rFonts w:cs="新細明體" w:hint="eastAsia"/>
                <w:color w:val="000000"/>
              </w:rPr>
              <w:t>新文豐出版公司發</w:t>
            </w:r>
            <w:r w:rsidRPr="00B51C1E">
              <w:rPr>
                <w:rFonts w:cs="新細明體" w:hint="eastAsia"/>
                <w:color w:val="000000"/>
              </w:rPr>
              <w:t>行</w:t>
            </w:r>
            <w:r w:rsidRPr="00B51C1E">
              <w:rPr>
                <w:color w:val="000000"/>
              </w:rPr>
              <w:t xml:space="preserve">  </w:t>
            </w:r>
            <w:r w:rsidRPr="00B51C1E">
              <w:rPr>
                <w:rFonts w:cs="新細明體" w:hint="eastAsia"/>
                <w:color w:val="000000"/>
              </w:rPr>
              <w:t>民國</w:t>
            </w:r>
            <w:r>
              <w:rPr>
                <w:rFonts w:cs="新細明體" w:hint="eastAsia"/>
                <w:color w:val="000000"/>
              </w:rPr>
              <w:t>七</w:t>
            </w:r>
            <w:r w:rsidRPr="00B51C1E">
              <w:rPr>
                <w:rFonts w:cs="新細明體" w:hint="eastAsia"/>
                <w:color w:val="000000"/>
              </w:rPr>
              <w:t>十</w:t>
            </w:r>
            <w:r>
              <w:rPr>
                <w:rFonts w:cs="新細明體" w:hint="eastAsia"/>
                <w:color w:val="000000"/>
              </w:rPr>
              <w:t>七</w:t>
            </w:r>
            <w:r w:rsidRPr="00B51C1E">
              <w:rPr>
                <w:rFonts w:cs="新細明體" w:hint="eastAsia"/>
                <w:color w:val="000000"/>
              </w:rPr>
              <w:t>年</w:t>
            </w:r>
            <w:r>
              <w:rPr>
                <w:rFonts w:cs="新細明體" w:hint="eastAsia"/>
                <w:color w:val="000000"/>
              </w:rPr>
              <w:t>三</w:t>
            </w:r>
            <w:r w:rsidRPr="00B51C1E">
              <w:rPr>
                <w:rFonts w:cs="新細明體" w:hint="eastAsia"/>
                <w:color w:val="000000"/>
              </w:rPr>
              <w:t>月</w:t>
            </w:r>
            <w:r>
              <w:rPr>
                <w:rFonts w:cs="新細明體" w:hint="eastAsia"/>
                <w:color w:val="000000"/>
              </w:rPr>
              <w:t>二</w:t>
            </w:r>
            <w:r w:rsidRPr="00B51C1E">
              <w:rPr>
                <w:rFonts w:cs="新細明體" w:hint="eastAsia"/>
                <w:color w:val="000000"/>
              </w:rPr>
              <w:t>版</w:t>
            </w:r>
          </w:p>
          <w:p w:rsidR="00A74F29" w:rsidRPr="00B51C1E" w:rsidRDefault="00A74F29" w:rsidP="004F1140">
            <w:pPr>
              <w:pStyle w:val="ListBullet"/>
              <w:numPr>
                <w:ilvl w:val="0"/>
                <w:numId w:val="0"/>
              </w:numPr>
              <w:ind w:left="480"/>
              <w:rPr>
                <w:color w:val="000000"/>
              </w:rPr>
            </w:pPr>
            <w:r w:rsidRPr="00B51C1E">
              <w:rPr>
                <w:rFonts w:cs="新細明體" w:hint="eastAsia"/>
                <w:color w:val="000000"/>
              </w:rPr>
              <w:t>參考書目：漢書導讀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李威熊著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文史哲出版社印行</w:t>
            </w:r>
            <w:r w:rsidRPr="00B51C1E">
              <w:rPr>
                <w:color w:val="000000"/>
              </w:rPr>
              <w:t xml:space="preserve">  </w:t>
            </w:r>
            <w:r w:rsidRPr="00B51C1E">
              <w:rPr>
                <w:rFonts w:cs="新細明體" w:hint="eastAsia"/>
                <w:color w:val="000000"/>
              </w:rPr>
              <w:t>民國六十六年四月出版</w:t>
            </w:r>
          </w:p>
          <w:p w:rsidR="00A74F29" w:rsidRPr="00B51C1E" w:rsidRDefault="00A74F29" w:rsidP="00A74F29">
            <w:pPr>
              <w:pStyle w:val="ListBullet"/>
              <w:numPr>
                <w:ilvl w:val="0"/>
                <w:numId w:val="0"/>
              </w:numPr>
              <w:ind w:leftChars="300" w:left="31680" w:firstLineChars="350" w:firstLine="3168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漢書窺管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世界書局出版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民國六十三年十月三版</w:t>
            </w:r>
          </w:p>
          <w:p w:rsidR="00A74F29" w:rsidRPr="00B51C1E" w:rsidRDefault="00A74F29" w:rsidP="00A74F29">
            <w:pPr>
              <w:pStyle w:val="ListBullet"/>
              <w:numPr>
                <w:ilvl w:val="0"/>
                <w:numId w:val="0"/>
              </w:numPr>
              <w:ind w:leftChars="650" w:left="31680" w:hangingChars="2500" w:firstLine="3168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漢書辨疑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錢大昭撰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弘道文化事業有限公司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民國六十二年元月初版</w:t>
            </w:r>
          </w:p>
          <w:p w:rsidR="00A74F29" w:rsidRPr="00B51C1E" w:rsidRDefault="00A74F29" w:rsidP="00A74F29">
            <w:pPr>
              <w:pStyle w:val="ListBullet"/>
              <w:numPr>
                <w:ilvl w:val="0"/>
                <w:numId w:val="0"/>
              </w:numPr>
              <w:ind w:leftChars="150" w:left="31680" w:hangingChars="150" w:firstLine="31680"/>
              <w:rPr>
                <w:color w:val="000000"/>
              </w:rPr>
            </w:pPr>
            <w:r w:rsidRPr="00B51C1E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漢書補注辨證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施之勉著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新亞研究所印行</w:t>
            </w:r>
          </w:p>
          <w:p w:rsidR="00A74F29" w:rsidRPr="00B51C1E" w:rsidRDefault="00A74F29" w:rsidP="00A74F29">
            <w:pPr>
              <w:pStyle w:val="ListBullet"/>
              <w:numPr>
                <w:ilvl w:val="0"/>
                <w:numId w:val="0"/>
              </w:numPr>
              <w:ind w:leftChars="150" w:left="31680" w:hangingChars="150" w:firstLine="31680"/>
              <w:rPr>
                <w:color w:val="000000"/>
              </w:rPr>
            </w:pPr>
            <w:r w:rsidRPr="00B51C1E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漢書注校補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周壽昌撰</w:t>
            </w:r>
            <w:r w:rsidRPr="00B51C1E">
              <w:rPr>
                <w:color w:val="000000"/>
              </w:rPr>
              <w:t xml:space="preserve"> </w:t>
            </w:r>
            <w:r w:rsidRPr="00B51C1E">
              <w:rPr>
                <w:rFonts w:cs="新細明體" w:hint="eastAsia"/>
                <w:color w:val="000000"/>
              </w:rPr>
              <w:t>商務印書館發行</w:t>
            </w:r>
          </w:p>
          <w:p w:rsidR="00A74F29" w:rsidRPr="00B51C1E" w:rsidRDefault="00A74F29" w:rsidP="00A74F29">
            <w:pPr>
              <w:pStyle w:val="ListBullet"/>
              <w:numPr>
                <w:ilvl w:val="0"/>
                <w:numId w:val="0"/>
              </w:numPr>
              <w:ind w:leftChars="37" w:left="31680" w:hangingChars="150" w:firstLine="31680"/>
              <w:rPr>
                <w:color w:val="000000"/>
              </w:rPr>
            </w:pPr>
            <w:r w:rsidRPr="00B51C1E">
              <w:rPr>
                <w:color w:val="000000"/>
              </w:rPr>
              <w:t xml:space="preserve">  </w:t>
            </w:r>
            <w:r w:rsidRPr="00B51C1E">
              <w:rPr>
                <w:rFonts w:ascii="超研澤粗魏碑" w:eastAsia="超研澤粗魏碑" w:cs="超研澤粗魏碑" w:hint="eastAsia"/>
                <w:b/>
                <w:bCs/>
                <w:color w:val="000000"/>
              </w:rPr>
              <w:t>四、成績評量方式：</w:t>
            </w:r>
            <w:r w:rsidRPr="00B51C1E">
              <w:rPr>
                <w:rFonts w:cs="新細明體" w:hint="eastAsia"/>
                <w:color w:val="000000"/>
              </w:rPr>
              <w:t>期中、期末考各佔二分之一</w:t>
            </w:r>
          </w:p>
          <w:p w:rsidR="00A74F29" w:rsidRPr="00B51C1E" w:rsidRDefault="00A74F29" w:rsidP="004F114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51C1E">
              <w:rPr>
                <w:rFonts w:ascii="細明體" w:eastAsia="細明體" w:cs="細明體"/>
                <w:color w:val="000000"/>
              </w:rPr>
              <w:t xml:space="preserve">   </w:t>
            </w:r>
            <w:r w:rsidRPr="00B51C1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五、人數限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40</w:t>
            </w:r>
            <w:r w:rsidRPr="00B51C1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，外系限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人</w:t>
            </w:r>
            <w:r w:rsidRPr="00B51C1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。</w:t>
            </w:r>
          </w:p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</w:p>
          <w:p w:rsidR="00A74F29" w:rsidRPr="00B51C1E" w:rsidRDefault="00A74F29" w:rsidP="004F1140">
            <w:pPr>
              <w:rPr>
                <w:rFonts w:ascii="細明體" w:eastAsia="細明體"/>
                <w:color w:val="000000"/>
              </w:rPr>
            </w:pPr>
          </w:p>
        </w:tc>
      </w:tr>
    </w:tbl>
    <w:p w:rsidR="00A74F29" w:rsidRPr="004F1140" w:rsidRDefault="00A74F29"/>
    <w:sectPr w:rsidR="00A74F29" w:rsidRPr="004F1140" w:rsidSect="004F114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超研澤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E2131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2B90DD7"/>
    <w:multiLevelType w:val="hybridMultilevel"/>
    <w:tmpl w:val="B0C6216E"/>
    <w:lvl w:ilvl="0" w:tplc="CF6CEC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超研澤粗魏碑" w:eastAsia="超研澤粗魏碑" w:hint="eastAsia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07"/>
    <w:rsid w:val="00017371"/>
    <w:rsid w:val="001C1D07"/>
    <w:rsid w:val="001D749C"/>
    <w:rsid w:val="001F1EF0"/>
    <w:rsid w:val="002C6F93"/>
    <w:rsid w:val="002E4392"/>
    <w:rsid w:val="00486B33"/>
    <w:rsid w:val="004F1140"/>
    <w:rsid w:val="005456F8"/>
    <w:rsid w:val="006035EB"/>
    <w:rsid w:val="007477FE"/>
    <w:rsid w:val="008630DF"/>
    <w:rsid w:val="008D2F45"/>
    <w:rsid w:val="00916BE0"/>
    <w:rsid w:val="009C14F2"/>
    <w:rsid w:val="00A74F29"/>
    <w:rsid w:val="00B51C1E"/>
    <w:rsid w:val="00C31948"/>
    <w:rsid w:val="00C37B62"/>
    <w:rsid w:val="00D21E92"/>
    <w:rsid w:val="00D25A43"/>
    <w:rsid w:val="00DC16E1"/>
    <w:rsid w:val="00D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40"/>
    <w:pPr>
      <w:widowControl w:val="0"/>
      <w:adjustRightInd w:val="0"/>
      <w:spacing w:line="360" w:lineRule="atLeast"/>
      <w:textAlignment w:val="baseline"/>
    </w:pPr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4F1140"/>
    <w:pPr>
      <w:numPr>
        <w:numId w:val="3"/>
      </w:numPr>
      <w:adjustRightInd/>
      <w:spacing w:line="240" w:lineRule="auto"/>
      <w:ind w:leftChars="200" w:left="200" w:hangingChars="200" w:hanging="200"/>
      <w:textAlignment w:val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臺  灣  大  學  開  授  課  程  大  綱</dc:title>
  <dc:subject/>
  <dc:creator>Administrator</dc:creator>
  <cp:keywords/>
  <dc:description/>
  <cp:lastModifiedBy>user</cp:lastModifiedBy>
  <cp:revision>10</cp:revision>
  <cp:lastPrinted>2011-06-01T08:45:00Z</cp:lastPrinted>
  <dcterms:created xsi:type="dcterms:W3CDTF">2005-04-07T05:55:00Z</dcterms:created>
  <dcterms:modified xsi:type="dcterms:W3CDTF">2011-07-28T02:20:00Z</dcterms:modified>
</cp:coreProperties>
</file>