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5F" w:rsidRDefault="00B953BD">
      <w:pPr>
        <w:spacing w:line="440" w:lineRule="exact"/>
        <w:jc w:val="center"/>
        <w:rPr>
          <w:rFonts w:eastAsia="標楷體" w:hint="eastAsia"/>
          <w:sz w:val="32"/>
        </w:rPr>
      </w:pPr>
      <w:r>
        <w:rPr>
          <w:rFonts w:eastAsia="標楷體" w:hint="eastAsia"/>
          <w:sz w:val="32"/>
        </w:rPr>
        <w:t>非營利組織</w:t>
      </w:r>
    </w:p>
    <w:p w:rsidR="0028255F" w:rsidRDefault="0028255F">
      <w:pPr>
        <w:pStyle w:val="1"/>
        <w:spacing w:line="440" w:lineRule="exact"/>
        <w:rPr>
          <w:rFonts w:eastAsia="標楷體"/>
          <w:sz w:val="24"/>
        </w:rPr>
      </w:pPr>
      <w:r>
        <w:rPr>
          <w:sz w:val="24"/>
        </w:rPr>
        <w:t>NONPR</w:t>
      </w:r>
      <w:r w:rsidR="00B953BD">
        <w:rPr>
          <w:sz w:val="24"/>
        </w:rPr>
        <w:t xml:space="preserve">OFIT ORGANIZATION </w:t>
      </w:r>
      <w:r>
        <w:rPr>
          <w:sz w:val="24"/>
        </w:rPr>
        <w:t xml:space="preserve"> </w:t>
      </w:r>
    </w:p>
    <w:p w:rsidR="0028255F" w:rsidRDefault="00B953BD">
      <w:pPr>
        <w:spacing w:line="440" w:lineRule="exact"/>
        <w:jc w:val="center"/>
        <w:rPr>
          <w:sz w:val="28"/>
        </w:rPr>
      </w:pPr>
      <w:r>
        <w:rPr>
          <w:rFonts w:hint="eastAsia"/>
          <w:sz w:val="28"/>
        </w:rPr>
        <w:t>國立臺灣大學政治學系</w:t>
      </w:r>
    </w:p>
    <w:p w:rsidR="0028255F" w:rsidRDefault="0028255F">
      <w:pPr>
        <w:spacing w:line="440" w:lineRule="exact"/>
        <w:rPr>
          <w:rFonts w:hint="eastAsia"/>
          <w:sz w:val="28"/>
        </w:rPr>
      </w:pPr>
      <w:r>
        <w:rPr>
          <w:rFonts w:hint="eastAsia"/>
          <w:sz w:val="28"/>
        </w:rPr>
        <w:t>孫煒</w:t>
      </w:r>
    </w:p>
    <w:p w:rsidR="0028255F" w:rsidRDefault="0028255F">
      <w:pPr>
        <w:spacing w:line="440" w:lineRule="exact"/>
        <w:rPr>
          <w:rFonts w:hint="eastAsia"/>
          <w:sz w:val="28"/>
        </w:rPr>
      </w:pPr>
      <w:hyperlink r:id="rId7" w:history="1">
        <w:r>
          <w:rPr>
            <w:rStyle w:val="a3"/>
          </w:rPr>
          <w:t>waysun@cc.ncu.edu.tw</w:t>
        </w:r>
      </w:hyperlink>
    </w:p>
    <w:p w:rsidR="0028255F" w:rsidRDefault="0028255F">
      <w:pPr>
        <w:rPr>
          <w:rFonts w:hint="eastAsia"/>
        </w:rPr>
      </w:pPr>
    </w:p>
    <w:p w:rsidR="0028255F" w:rsidRDefault="0028255F">
      <w:pPr>
        <w:rPr>
          <w:rFonts w:hint="eastAsia"/>
        </w:rPr>
      </w:pPr>
      <w:r>
        <w:rPr>
          <w:rFonts w:hint="eastAsia"/>
        </w:rPr>
        <w:t>課程主旨：</w:t>
      </w:r>
    </w:p>
    <w:p w:rsidR="0028255F" w:rsidRDefault="0032281A" w:rsidP="00510EF9">
      <w:pPr>
        <w:ind w:firstLine="480"/>
        <w:rPr>
          <w:rFonts w:hint="eastAsia"/>
        </w:rPr>
      </w:pPr>
      <w:r>
        <w:rPr>
          <w:rFonts w:hint="eastAsia"/>
        </w:rPr>
        <w:t>非營利組織</w:t>
      </w:r>
      <w:r w:rsidRPr="005C0DBB">
        <w:t>在東西方文明中發</w:t>
      </w:r>
      <w:proofErr w:type="gramStart"/>
      <w:r w:rsidRPr="005C0DBB">
        <w:t>紉</w:t>
      </w:r>
      <w:proofErr w:type="gramEnd"/>
      <w:r w:rsidRPr="005C0DBB">
        <w:t>雖</w:t>
      </w:r>
      <w:r>
        <w:rPr>
          <w:rFonts w:hint="eastAsia"/>
        </w:rPr>
        <w:t>早，源</w:t>
      </w:r>
      <w:r w:rsidRPr="005C0DBB">
        <w:t>遠流長，但近年蓬勃發展，與政府部門及企業部門共同構成現代社會的重要基石，也是推動良性社會變遷的主要動力。</w:t>
      </w:r>
      <w:r>
        <w:t>當代</w:t>
      </w:r>
      <w:r>
        <w:rPr>
          <w:rFonts w:hint="eastAsia"/>
        </w:rPr>
        <w:t>非營利組織</w:t>
      </w:r>
      <w:r>
        <w:t>研究</w:t>
      </w:r>
      <w:proofErr w:type="gramStart"/>
      <w:r w:rsidRPr="005C0DBB">
        <w:t>肇</w:t>
      </w:r>
      <w:proofErr w:type="gramEnd"/>
      <w:r w:rsidRPr="005C0DBB">
        <w:t>基於</w:t>
      </w:r>
      <w:r>
        <w:rPr>
          <w:rFonts w:hint="eastAsia"/>
        </w:rPr>
        <w:t>一九七○</w:t>
      </w:r>
      <w:r w:rsidRPr="005C0DBB">
        <w:t>年代晚期的美國，</w:t>
      </w:r>
      <w:r>
        <w:t>迄今不足三十年，</w:t>
      </w:r>
      <w:r>
        <w:rPr>
          <w:rFonts w:hint="eastAsia"/>
        </w:rPr>
        <w:t>然而</w:t>
      </w:r>
      <w:r>
        <w:t>學術規模卻迅速擴充，先進國家的頂尖大學及研究中心紛紛投入</w:t>
      </w:r>
      <w:r w:rsidRPr="005C0DBB">
        <w:t>相關</w:t>
      </w:r>
      <w:r>
        <w:t>研究</w:t>
      </w:r>
      <w:r w:rsidR="0028255F">
        <w:rPr>
          <w:rFonts w:hint="eastAsia"/>
        </w:rPr>
        <w:t>。當今非營利組織的研究主要集中在企業管理、社會工作與公共行政三個學術領域。本課程主要是採取公共行政的觀點與途徑，透過課程教材的設計，使修課同學了</w:t>
      </w:r>
      <w:proofErr w:type="gramStart"/>
      <w:r w:rsidR="0028255F">
        <w:rPr>
          <w:rFonts w:hint="eastAsia"/>
        </w:rPr>
        <w:t>解非營利</w:t>
      </w:r>
      <w:proofErr w:type="gramEnd"/>
      <w:r w:rsidR="0028255F">
        <w:rPr>
          <w:rFonts w:hint="eastAsia"/>
        </w:rPr>
        <w:t>組織的性質與特徵，以及非營利管理的各項主題與實務運作，</w:t>
      </w:r>
      <w:r>
        <w:rPr>
          <w:rFonts w:hint="eastAsia"/>
        </w:rPr>
        <w:t>奠定修課同學對於當代非營利組織</w:t>
      </w:r>
      <w:r w:rsidR="00B953BD">
        <w:rPr>
          <w:rFonts w:hint="eastAsia"/>
        </w:rPr>
        <w:t>理論與實際的基本認識。本課程畫分為三大部分：基本</w:t>
      </w:r>
      <w:r w:rsidR="00510EF9">
        <w:rPr>
          <w:rFonts w:hint="eastAsia"/>
        </w:rPr>
        <w:t>概念</w:t>
      </w:r>
      <w:r w:rsidR="00B953BD">
        <w:rPr>
          <w:rFonts w:hint="eastAsia"/>
        </w:rPr>
        <w:t>的界定、</w:t>
      </w:r>
      <w:r w:rsidR="00510EF9">
        <w:rPr>
          <w:rFonts w:hint="eastAsia"/>
        </w:rPr>
        <w:t>理論途徑</w:t>
      </w:r>
      <w:r w:rsidR="00B953BD">
        <w:rPr>
          <w:rFonts w:hint="eastAsia"/>
        </w:rPr>
        <w:t>的探討、個案經驗的研究</w:t>
      </w:r>
      <w:r w:rsidR="0028255F">
        <w:rPr>
          <w:rFonts w:hint="eastAsia"/>
        </w:rPr>
        <w:t>。課程目標是使修課同學能夠理解當今非營利組織研究的重要理論與概念以及實務經驗，奠定修課同學未來從事相關學術研究的基礎，或進入非營利組織服務的準備。</w:t>
      </w:r>
    </w:p>
    <w:p w:rsidR="0028255F" w:rsidRDefault="0028255F"/>
    <w:p w:rsidR="0028255F" w:rsidRDefault="0028255F">
      <w:pPr>
        <w:rPr>
          <w:rFonts w:hint="eastAsia"/>
        </w:rPr>
      </w:pPr>
      <w:r>
        <w:rPr>
          <w:rFonts w:hint="eastAsia"/>
        </w:rPr>
        <w:t>課程要求：</w:t>
      </w:r>
    </w:p>
    <w:p w:rsidR="0028255F" w:rsidRDefault="00B953BD" w:rsidP="00C43648">
      <w:pPr>
        <w:ind w:firstLine="480"/>
        <w:rPr>
          <w:rFonts w:hint="eastAsia"/>
        </w:rPr>
      </w:pPr>
      <w:r>
        <w:rPr>
          <w:rFonts w:hint="eastAsia"/>
        </w:rPr>
        <w:t>本課程兼</w:t>
      </w:r>
      <w:proofErr w:type="gramStart"/>
      <w:r>
        <w:rPr>
          <w:rFonts w:hint="eastAsia"/>
        </w:rPr>
        <w:t>採</w:t>
      </w:r>
      <w:proofErr w:type="gramEnd"/>
      <w:r>
        <w:rPr>
          <w:rFonts w:hint="eastAsia"/>
        </w:rPr>
        <w:t>教師</w:t>
      </w:r>
      <w:r w:rsidR="0028255F">
        <w:rPr>
          <w:rFonts w:hint="eastAsia"/>
        </w:rPr>
        <w:t>講授</w:t>
      </w:r>
      <w:r w:rsidR="00C43648">
        <w:rPr>
          <w:rFonts w:hint="eastAsia"/>
        </w:rPr>
        <w:t>與課堂</w:t>
      </w:r>
      <w:r>
        <w:rPr>
          <w:rFonts w:hint="eastAsia"/>
        </w:rPr>
        <w:t>報告</w:t>
      </w:r>
      <w:r w:rsidR="0028255F">
        <w:rPr>
          <w:rFonts w:hint="eastAsia"/>
        </w:rPr>
        <w:t>並重的授課方式，</w:t>
      </w:r>
      <w:r w:rsidR="00C43648">
        <w:rPr>
          <w:rFonts w:hint="eastAsia"/>
        </w:rPr>
        <w:t>首先、由授課教師講解非營利組織的基本概念，再將全體修課同學分為八</w:t>
      </w:r>
      <w:r w:rsidR="00FC6086">
        <w:rPr>
          <w:rFonts w:hint="eastAsia"/>
        </w:rPr>
        <w:t>組，每組五至八</w:t>
      </w:r>
      <w:r w:rsidR="00C43648">
        <w:rPr>
          <w:rFonts w:hint="eastAsia"/>
        </w:rPr>
        <w:t>人，由指定組依序報告相關教</w:t>
      </w:r>
      <w:r w:rsidR="00602700">
        <w:rPr>
          <w:rFonts w:hint="eastAsia"/>
        </w:rPr>
        <w:t>材，之後由同組同學選擇一個本土非營利組織的經驗調查並再次提出</w:t>
      </w:r>
      <w:r w:rsidR="00C43648">
        <w:rPr>
          <w:rFonts w:hint="eastAsia"/>
        </w:rPr>
        <w:t>課堂報告</w:t>
      </w:r>
      <w:r>
        <w:rPr>
          <w:rFonts w:hint="eastAsia"/>
        </w:rPr>
        <w:t>。</w:t>
      </w:r>
      <w:r w:rsidR="00C43648">
        <w:rPr>
          <w:rFonts w:hint="eastAsia"/>
        </w:rPr>
        <w:t>原則上，同組同學獲得相同成績。</w:t>
      </w:r>
      <w:r>
        <w:rPr>
          <w:rFonts w:hint="eastAsia"/>
        </w:rPr>
        <w:t>課堂報告時，由</w:t>
      </w:r>
      <w:r w:rsidR="00C43648">
        <w:rPr>
          <w:rFonts w:hint="eastAsia"/>
        </w:rPr>
        <w:t>每組同學一人報告指定進度</w:t>
      </w:r>
      <w:r w:rsidR="0028255F">
        <w:rPr>
          <w:rFonts w:hint="eastAsia"/>
        </w:rPr>
        <w:t>，再由其他修課同學提出質詢，並進行課堂討論，最後由任課教師講評。本課程並不預設修課同學具備高程度的非營利組織研究的理論背景或方法訓練，但最重要的條件是每週必須課前仔細地閱讀指定的教材內容、課中認真地進行討論、課後深入地思考。</w:t>
      </w:r>
      <w:r>
        <w:rPr>
          <w:rFonts w:hint="eastAsia"/>
        </w:rPr>
        <w:t>修課同學的具體要求</w:t>
      </w:r>
      <w:r w:rsidR="0028255F">
        <w:rPr>
          <w:rFonts w:hint="eastAsia"/>
        </w:rPr>
        <w:t>為：</w:t>
      </w:r>
    </w:p>
    <w:p w:rsidR="0028255F" w:rsidRDefault="00B953BD">
      <w:pPr>
        <w:pStyle w:val="a4"/>
        <w:rPr>
          <w:rFonts w:ascii="Times New Roman" w:hint="eastAsia"/>
        </w:rPr>
      </w:pPr>
      <w:r>
        <w:rPr>
          <w:rFonts w:ascii="Times New Roman" w:hint="eastAsia"/>
        </w:rPr>
        <w:t>（一）由指定組報告教材內容，每週以精讀</w:t>
      </w:r>
      <w:proofErr w:type="gramStart"/>
      <w:r>
        <w:rPr>
          <w:rFonts w:ascii="Times New Roman" w:hint="eastAsia"/>
        </w:rPr>
        <w:t>一</w:t>
      </w:r>
      <w:proofErr w:type="gramEnd"/>
      <w:r>
        <w:rPr>
          <w:rFonts w:ascii="Times New Roman" w:hint="eastAsia"/>
        </w:rPr>
        <w:t>章英文必讀教材為原則，指定組必須針對每章英文必讀教材</w:t>
      </w:r>
      <w:r w:rsidR="0028255F">
        <w:rPr>
          <w:rFonts w:ascii="Times New Roman" w:hint="eastAsia"/>
        </w:rPr>
        <w:t>撰寫摘要，在上課前發給教師及</w:t>
      </w:r>
      <w:proofErr w:type="gramStart"/>
      <w:r w:rsidR="0028255F">
        <w:rPr>
          <w:rFonts w:ascii="Times New Roman" w:hint="eastAsia"/>
        </w:rPr>
        <w:t>每位修課</w:t>
      </w:r>
      <w:proofErr w:type="gramEnd"/>
      <w:r w:rsidR="0028255F">
        <w:rPr>
          <w:rFonts w:ascii="Times New Roman" w:hint="eastAsia"/>
        </w:rPr>
        <w:t>同學。</w:t>
      </w:r>
    </w:p>
    <w:p w:rsidR="0028255F" w:rsidRDefault="0028255F">
      <w:pPr>
        <w:ind w:left="720" w:hanging="720"/>
        <w:rPr>
          <w:rFonts w:hint="eastAsia"/>
        </w:rPr>
      </w:pPr>
      <w:r>
        <w:rPr>
          <w:rFonts w:hint="eastAsia"/>
        </w:rPr>
        <w:t>（二）</w:t>
      </w:r>
      <w:r w:rsidR="00467F30">
        <w:rPr>
          <w:rFonts w:hint="eastAsia"/>
        </w:rPr>
        <w:t>指定組根據</w:t>
      </w:r>
      <w:proofErr w:type="gramStart"/>
      <w:r w:rsidR="00C43648">
        <w:rPr>
          <w:rFonts w:hint="eastAsia"/>
        </w:rPr>
        <w:t>課堂所授之</w:t>
      </w:r>
      <w:proofErr w:type="gramEnd"/>
      <w:r w:rsidR="00C43648">
        <w:rPr>
          <w:rFonts w:hint="eastAsia"/>
        </w:rPr>
        <w:t>內容</w:t>
      </w:r>
      <w:r w:rsidR="00467F30">
        <w:rPr>
          <w:rFonts w:hint="eastAsia"/>
        </w:rPr>
        <w:t>選擇一個本土非營利組織進行</w:t>
      </w:r>
      <w:r w:rsidR="00FF5FFD">
        <w:rPr>
          <w:rFonts w:hint="eastAsia"/>
        </w:rPr>
        <w:t>經驗</w:t>
      </w:r>
      <w:r w:rsidR="00467F30">
        <w:rPr>
          <w:rFonts w:hint="eastAsia"/>
        </w:rPr>
        <w:t>研究，並撰寫一篇課堂報告，在上課前發給教師及</w:t>
      </w:r>
      <w:proofErr w:type="gramStart"/>
      <w:r w:rsidR="00467F30">
        <w:rPr>
          <w:rFonts w:hint="eastAsia"/>
        </w:rPr>
        <w:t>每位修課</w:t>
      </w:r>
      <w:proofErr w:type="gramEnd"/>
      <w:r w:rsidR="00467F30">
        <w:rPr>
          <w:rFonts w:hint="eastAsia"/>
        </w:rPr>
        <w:t>同學。</w:t>
      </w:r>
    </w:p>
    <w:p w:rsidR="00467F30" w:rsidRPr="00467F30" w:rsidRDefault="00467F30">
      <w:pPr>
        <w:ind w:left="720" w:hanging="720"/>
        <w:rPr>
          <w:rFonts w:hint="eastAsia"/>
        </w:rPr>
      </w:pPr>
      <w:r>
        <w:rPr>
          <w:rFonts w:hint="eastAsia"/>
        </w:rPr>
        <w:t>（三）期末考試涵蓋本課程所有基本概念、理論途徑、個案經驗的內容。</w:t>
      </w:r>
    </w:p>
    <w:p w:rsidR="0028255F" w:rsidRDefault="0028255F">
      <w:pPr>
        <w:ind w:firstLine="480"/>
        <w:rPr>
          <w:rFonts w:hint="eastAsia"/>
        </w:rPr>
      </w:pPr>
    </w:p>
    <w:p w:rsidR="0028255F" w:rsidRDefault="0028255F">
      <w:pPr>
        <w:rPr>
          <w:rFonts w:hint="eastAsia"/>
        </w:rPr>
      </w:pPr>
      <w:r>
        <w:rPr>
          <w:rFonts w:hint="eastAsia"/>
        </w:rPr>
        <w:t>課程評分：</w:t>
      </w:r>
    </w:p>
    <w:p w:rsidR="0028255F" w:rsidRDefault="0028255F">
      <w:pPr>
        <w:numPr>
          <w:ilvl w:val="0"/>
          <w:numId w:val="1"/>
        </w:numPr>
        <w:rPr>
          <w:rFonts w:hint="eastAsia"/>
        </w:rPr>
      </w:pPr>
      <w:r>
        <w:rPr>
          <w:rFonts w:hint="eastAsia"/>
        </w:rPr>
        <w:t>課堂報告</w:t>
      </w:r>
      <w:r w:rsidR="00467F30">
        <w:rPr>
          <w:rFonts w:hint="eastAsia"/>
        </w:rPr>
        <w:t>4</w:t>
      </w:r>
      <w:r>
        <w:t>0%</w:t>
      </w:r>
    </w:p>
    <w:p w:rsidR="0028255F" w:rsidRDefault="0028255F">
      <w:pPr>
        <w:numPr>
          <w:ilvl w:val="0"/>
          <w:numId w:val="1"/>
        </w:numPr>
        <w:rPr>
          <w:rFonts w:hint="eastAsia"/>
        </w:rPr>
      </w:pPr>
      <w:r>
        <w:rPr>
          <w:rFonts w:hint="eastAsia"/>
        </w:rPr>
        <w:t>課堂參與</w:t>
      </w:r>
      <w:r>
        <w:rPr>
          <w:rFonts w:hint="eastAsia"/>
        </w:rPr>
        <w:t>20%</w:t>
      </w:r>
    </w:p>
    <w:p w:rsidR="0028255F" w:rsidRDefault="00467F30">
      <w:pPr>
        <w:numPr>
          <w:ilvl w:val="0"/>
          <w:numId w:val="1"/>
        </w:numPr>
        <w:rPr>
          <w:rFonts w:hint="eastAsia"/>
        </w:rPr>
      </w:pPr>
      <w:r>
        <w:rPr>
          <w:rFonts w:hint="eastAsia"/>
        </w:rPr>
        <w:lastRenderedPageBreak/>
        <w:t>期末考試</w:t>
      </w:r>
      <w:r>
        <w:rPr>
          <w:rFonts w:hint="eastAsia"/>
        </w:rPr>
        <w:t>4</w:t>
      </w:r>
      <w:r w:rsidR="0028255F">
        <w:t>0%</w:t>
      </w:r>
    </w:p>
    <w:p w:rsidR="00510EF9" w:rsidRDefault="00510EF9">
      <w:pPr>
        <w:ind w:firstLine="480"/>
        <w:jc w:val="center"/>
        <w:rPr>
          <w:rFonts w:eastAsia="標楷體" w:hint="eastAsia"/>
          <w:sz w:val="32"/>
        </w:rPr>
      </w:pPr>
    </w:p>
    <w:p w:rsidR="0028255F" w:rsidRDefault="0028255F">
      <w:pPr>
        <w:ind w:firstLine="480"/>
        <w:jc w:val="center"/>
        <w:rPr>
          <w:rFonts w:eastAsia="標楷體" w:hint="eastAsia"/>
          <w:sz w:val="32"/>
        </w:rPr>
      </w:pPr>
      <w:r>
        <w:rPr>
          <w:rFonts w:eastAsia="標楷體" w:hint="eastAsia"/>
          <w:sz w:val="32"/>
        </w:rPr>
        <w:t>課程主題與教材</w:t>
      </w:r>
    </w:p>
    <w:p w:rsidR="00467F30" w:rsidRDefault="00467F30">
      <w:pPr>
        <w:rPr>
          <w:rFonts w:hint="eastAsia"/>
        </w:rPr>
      </w:pPr>
    </w:p>
    <w:p w:rsidR="0028255F" w:rsidRDefault="0028255F">
      <w:r>
        <w:rPr>
          <w:rFonts w:hint="eastAsia"/>
        </w:rPr>
        <w:t>第</w:t>
      </w:r>
      <w:r w:rsidR="00467F30">
        <w:rPr>
          <w:rFonts w:hint="eastAsia"/>
        </w:rPr>
        <w:t>一部分　必讀教材</w:t>
      </w:r>
    </w:p>
    <w:p w:rsidR="0028255F" w:rsidRDefault="0028255F">
      <w:pPr>
        <w:rPr>
          <w:rFonts w:hint="eastAsia"/>
        </w:rPr>
      </w:pPr>
    </w:p>
    <w:p w:rsidR="00467F30" w:rsidRDefault="000672FA" w:rsidP="000672FA">
      <w:pPr>
        <w:ind w:left="540" w:hangingChars="225" w:hanging="540"/>
        <w:rPr>
          <w:rFonts w:hint="eastAsia"/>
        </w:rPr>
      </w:pPr>
      <w:r w:rsidRPr="000672FA">
        <w:rPr>
          <w:rFonts w:hint="eastAsia"/>
          <w:lang w:val="de-DE"/>
        </w:rPr>
        <w:t xml:space="preserve">Powell, W. W. &amp; R. Steinberg. eds. </w:t>
      </w:r>
      <w:r w:rsidRPr="004B35DE">
        <w:rPr>
          <w:rFonts w:hint="eastAsia"/>
          <w:i/>
        </w:rPr>
        <w:t>The Non-profit Sector: A Research Handbook</w:t>
      </w:r>
      <w:r>
        <w:rPr>
          <w:rFonts w:hint="eastAsia"/>
        </w:rPr>
        <w:t xml:space="preserve">, </w:t>
      </w:r>
      <w:smartTag w:uri="urn:schemas-microsoft-com:office:smarttags" w:element="City">
        <w:smartTag w:uri="urn:schemas-microsoft-com:office:smarttags" w:element="place">
          <w:r>
            <w:rPr>
              <w:rFonts w:hint="eastAsia"/>
            </w:rPr>
            <w:t>New Haven</w:t>
          </w:r>
        </w:smartTag>
      </w:smartTag>
      <w:r>
        <w:rPr>
          <w:rFonts w:hint="eastAsia"/>
        </w:rPr>
        <w:t xml:space="preserve">: </w:t>
      </w:r>
      <w:smartTag w:uri="urn:schemas-microsoft-com:office:smarttags" w:element="place">
        <w:smartTag w:uri="urn:schemas-microsoft-com:office:smarttags" w:element="PlaceName">
          <w:r>
            <w:rPr>
              <w:rFonts w:hint="eastAsia"/>
            </w:rPr>
            <w:t>Yale</w:t>
          </w:r>
        </w:smartTag>
        <w:r>
          <w:rPr>
            <w:rFonts w:hint="eastAsia"/>
          </w:rPr>
          <w:t xml:space="preserve"> </w:t>
        </w:r>
        <w:smartTag w:uri="urn:schemas-microsoft-com:office:smarttags" w:element="PlaceType">
          <w:r>
            <w:rPr>
              <w:rFonts w:hint="eastAsia"/>
            </w:rPr>
            <w:t>University</w:t>
          </w:r>
        </w:smartTag>
      </w:smartTag>
      <w:r>
        <w:rPr>
          <w:rFonts w:hint="eastAsia"/>
        </w:rPr>
        <w:t xml:space="preserve"> Press.</w:t>
      </w:r>
    </w:p>
    <w:p w:rsidR="00467F30" w:rsidRDefault="000672FA" w:rsidP="000672FA">
      <w:pPr>
        <w:rPr>
          <w:rFonts w:hint="eastAsia"/>
        </w:rPr>
      </w:pPr>
      <w:r>
        <w:rPr>
          <w:rFonts w:hint="eastAsia"/>
        </w:rPr>
        <w:t xml:space="preserve">    8 </w:t>
      </w:r>
      <w:r w:rsidR="00467F30">
        <w:rPr>
          <w:rFonts w:hint="eastAsia"/>
        </w:rPr>
        <w:t>C</w:t>
      </w:r>
      <w:r>
        <w:rPr>
          <w:rFonts w:hint="eastAsia"/>
        </w:rPr>
        <w:t>hapters</w:t>
      </w:r>
      <w:r w:rsidR="00FF5FFD">
        <w:rPr>
          <w:rFonts w:hint="eastAsia"/>
        </w:rPr>
        <w:t xml:space="preserve"> </w:t>
      </w:r>
      <w:r w:rsidR="00FF5FFD">
        <w:rPr>
          <w:rFonts w:hint="eastAsia"/>
        </w:rPr>
        <w:t xml:space="preserve">　</w:t>
      </w:r>
    </w:p>
    <w:p w:rsidR="00467F30" w:rsidRDefault="00467F30">
      <w:pPr>
        <w:rPr>
          <w:rFonts w:hint="eastAsia"/>
        </w:rPr>
      </w:pPr>
    </w:p>
    <w:p w:rsidR="00CF568C" w:rsidRDefault="00CF568C" w:rsidP="00CF568C">
      <w:r>
        <w:rPr>
          <w:rFonts w:hint="eastAsia"/>
        </w:rPr>
        <w:t>第二部分　選讀教材</w:t>
      </w:r>
    </w:p>
    <w:p w:rsidR="0028255F" w:rsidRDefault="0028255F" w:rsidP="00CF568C">
      <w:pPr>
        <w:pStyle w:val="2"/>
        <w:ind w:left="0" w:firstLine="0"/>
        <w:rPr>
          <w:rFonts w:hint="eastAsia"/>
        </w:rPr>
      </w:pPr>
    </w:p>
    <w:p w:rsidR="0028255F" w:rsidRDefault="0028255F" w:rsidP="00CF568C">
      <w:pPr>
        <w:numPr>
          <w:ilvl w:val="0"/>
          <w:numId w:val="15"/>
        </w:numPr>
        <w:rPr>
          <w:rFonts w:hint="eastAsia"/>
        </w:rPr>
      </w:pPr>
      <w:r>
        <w:rPr>
          <w:rFonts w:hint="eastAsia"/>
        </w:rPr>
        <w:t>蕭新煌主編，</w:t>
      </w:r>
      <w:r>
        <w:t>2000</w:t>
      </w:r>
      <w:r w:rsidR="00CF568C">
        <w:rPr>
          <w:rFonts w:hint="eastAsia"/>
        </w:rPr>
        <w:t>，</w:t>
      </w:r>
      <w:proofErr w:type="gramStart"/>
      <w:r w:rsidR="00CF568C">
        <w:rPr>
          <w:rFonts w:hint="eastAsia"/>
        </w:rPr>
        <w:t>《</w:t>
      </w:r>
      <w:proofErr w:type="gramEnd"/>
      <w:r w:rsidR="00CF568C">
        <w:rPr>
          <w:rFonts w:hint="eastAsia"/>
        </w:rPr>
        <w:t>非營利部門：組織與運作</w:t>
      </w:r>
      <w:proofErr w:type="gramStart"/>
      <w:r w:rsidR="00CF568C">
        <w:rPr>
          <w:rFonts w:hint="eastAsia"/>
        </w:rPr>
        <w:t>》</w:t>
      </w:r>
      <w:proofErr w:type="gramEnd"/>
      <w:r w:rsidR="00CF568C">
        <w:rPr>
          <w:rFonts w:hint="eastAsia"/>
        </w:rPr>
        <w:t>，台北：巨流。</w:t>
      </w:r>
    </w:p>
    <w:p w:rsidR="00D654AE" w:rsidRPr="00D654AE" w:rsidRDefault="00D654AE" w:rsidP="00D654AE">
      <w:pPr>
        <w:numPr>
          <w:ilvl w:val="0"/>
          <w:numId w:val="15"/>
        </w:numPr>
        <w:rPr>
          <w:rFonts w:hint="eastAsia"/>
        </w:rPr>
      </w:pPr>
      <w:r>
        <w:rPr>
          <w:rFonts w:hint="eastAsia"/>
        </w:rPr>
        <w:t>Lewis, D</w:t>
      </w:r>
      <w:r>
        <w:t>.</w:t>
      </w:r>
      <w:r>
        <w:rPr>
          <w:rFonts w:hint="eastAsia"/>
        </w:rPr>
        <w:t>著，馮瑞麒譯，</w:t>
      </w:r>
      <w:r>
        <w:t>200</w:t>
      </w:r>
      <w:r>
        <w:rPr>
          <w:rFonts w:hint="eastAsia"/>
        </w:rPr>
        <w:t>7</w:t>
      </w:r>
      <w:r>
        <w:rPr>
          <w:rFonts w:hint="eastAsia"/>
        </w:rPr>
        <w:t>，</w:t>
      </w:r>
      <w:proofErr w:type="gramStart"/>
      <w:r>
        <w:rPr>
          <w:rFonts w:hint="eastAsia"/>
        </w:rPr>
        <w:t>《</w:t>
      </w:r>
      <w:proofErr w:type="gramEnd"/>
      <w:r>
        <w:rPr>
          <w:rFonts w:hint="eastAsia"/>
        </w:rPr>
        <w:t>非政府組織：管理初探</w:t>
      </w:r>
      <w:proofErr w:type="gramStart"/>
      <w:r>
        <w:rPr>
          <w:rFonts w:hint="eastAsia"/>
        </w:rPr>
        <w:t>》</w:t>
      </w:r>
      <w:proofErr w:type="gramEnd"/>
      <w:r>
        <w:rPr>
          <w:rFonts w:hint="eastAsia"/>
        </w:rPr>
        <w:t>，台北：五南。</w:t>
      </w:r>
    </w:p>
    <w:p w:rsidR="00510EF9" w:rsidRDefault="00510EF9" w:rsidP="00CF568C">
      <w:pPr>
        <w:numPr>
          <w:ilvl w:val="0"/>
          <w:numId w:val="15"/>
        </w:numPr>
        <w:rPr>
          <w:rFonts w:hint="eastAsia"/>
        </w:rPr>
      </w:pPr>
      <w:r>
        <w:t>Drucker, Peter F.</w:t>
      </w:r>
      <w:r>
        <w:rPr>
          <w:rFonts w:hint="eastAsia"/>
        </w:rPr>
        <w:t>著，余佩珊譯，</w:t>
      </w:r>
      <w:r>
        <w:t>2004</w:t>
      </w:r>
      <w:r>
        <w:rPr>
          <w:rFonts w:hint="eastAsia"/>
        </w:rPr>
        <w:t>，</w:t>
      </w:r>
      <w:proofErr w:type="gramStart"/>
      <w:r>
        <w:rPr>
          <w:rFonts w:hint="eastAsia"/>
        </w:rPr>
        <w:t>《</w:t>
      </w:r>
      <w:proofErr w:type="gramEnd"/>
      <w:r>
        <w:rPr>
          <w:rFonts w:hint="eastAsia"/>
        </w:rPr>
        <w:t>彼得杜拉克：使命與領導</w:t>
      </w:r>
      <w:proofErr w:type="gramStart"/>
      <w:r>
        <w:rPr>
          <w:rFonts w:hint="eastAsia"/>
        </w:rPr>
        <w:t>》</w:t>
      </w:r>
      <w:proofErr w:type="gramEnd"/>
      <w:r>
        <w:rPr>
          <w:rFonts w:hint="eastAsia"/>
        </w:rPr>
        <w:t>，台北：遠流。</w:t>
      </w:r>
    </w:p>
    <w:p w:rsidR="00BB47AF" w:rsidRDefault="00BB47AF" w:rsidP="00BB47AF">
      <w:pPr>
        <w:numPr>
          <w:ilvl w:val="0"/>
          <w:numId w:val="15"/>
        </w:numPr>
        <w:rPr>
          <w:rFonts w:hint="eastAsia"/>
        </w:rPr>
      </w:pPr>
      <w:r w:rsidRPr="00A8546B">
        <w:rPr>
          <w:rFonts w:hint="eastAsia"/>
        </w:rPr>
        <w:t>陳定銘，</w:t>
      </w:r>
      <w:r w:rsidRPr="00A8546B">
        <w:rPr>
          <w:rFonts w:hint="eastAsia"/>
        </w:rPr>
        <w:t>2007</w:t>
      </w:r>
      <w:r w:rsidRPr="00A8546B">
        <w:rPr>
          <w:rFonts w:hint="eastAsia"/>
        </w:rPr>
        <w:t>，</w:t>
      </w:r>
      <w:proofErr w:type="gramStart"/>
      <w:r w:rsidRPr="00A8546B">
        <w:rPr>
          <w:rFonts w:hint="eastAsia"/>
        </w:rPr>
        <w:t>《</w:t>
      </w:r>
      <w:proofErr w:type="gramEnd"/>
      <w:r w:rsidRPr="00A8546B">
        <w:rPr>
          <w:rFonts w:hAnsi="新細明體" w:hint="eastAsia"/>
        </w:rPr>
        <w:t>非營利組織、政府與社會企業</w:t>
      </w:r>
      <w:r w:rsidRPr="00A8546B">
        <w:rPr>
          <w:rFonts w:hint="eastAsia"/>
        </w:rPr>
        <w:t>：理論與實踐</w:t>
      </w:r>
      <w:proofErr w:type="gramStart"/>
      <w:r w:rsidRPr="00A8546B">
        <w:rPr>
          <w:rFonts w:hint="eastAsia"/>
        </w:rPr>
        <w:t>》</w:t>
      </w:r>
      <w:proofErr w:type="gramEnd"/>
      <w:r w:rsidRPr="00A8546B">
        <w:rPr>
          <w:rFonts w:hint="eastAsia"/>
        </w:rPr>
        <w:t>，台北：左岸。</w:t>
      </w:r>
    </w:p>
    <w:p w:rsidR="00BB47AF" w:rsidRPr="00BB47AF" w:rsidRDefault="00BB47AF" w:rsidP="00BB47AF">
      <w:pPr>
        <w:numPr>
          <w:ilvl w:val="0"/>
          <w:numId w:val="15"/>
        </w:numPr>
        <w:rPr>
          <w:rFonts w:hint="eastAsia"/>
        </w:rPr>
      </w:pPr>
      <w:r w:rsidRPr="00A8546B">
        <w:rPr>
          <w:rFonts w:hAnsi="新細明體"/>
        </w:rPr>
        <w:t>劉麗雯，</w:t>
      </w:r>
      <w:r w:rsidRPr="00A8546B">
        <w:t>2004</w:t>
      </w:r>
      <w:r w:rsidRPr="00A8546B">
        <w:rPr>
          <w:rFonts w:hint="eastAsia"/>
        </w:rPr>
        <w:t>，</w:t>
      </w:r>
      <w:proofErr w:type="gramStart"/>
      <w:r w:rsidRPr="00A8546B">
        <w:rPr>
          <w:rFonts w:hAnsi="新細明體"/>
        </w:rPr>
        <w:t>《</w:t>
      </w:r>
      <w:proofErr w:type="gramEnd"/>
      <w:r w:rsidRPr="00A8546B">
        <w:rPr>
          <w:rFonts w:hAnsi="新細明體" w:hint="eastAsia"/>
        </w:rPr>
        <w:t>非營利組織：協調合作的</w:t>
      </w:r>
      <w:proofErr w:type="gramStart"/>
      <w:r w:rsidRPr="00A8546B">
        <w:rPr>
          <w:rFonts w:hAnsi="新細明體" w:hint="eastAsia"/>
        </w:rPr>
        <w:t>的</w:t>
      </w:r>
      <w:proofErr w:type="gramEnd"/>
      <w:r w:rsidRPr="00A8546B">
        <w:rPr>
          <w:rFonts w:hAnsi="新細明體" w:hint="eastAsia"/>
        </w:rPr>
        <w:t>社會福利服務</w:t>
      </w:r>
      <w:proofErr w:type="gramStart"/>
      <w:r w:rsidRPr="00A8546B">
        <w:rPr>
          <w:rFonts w:hAnsi="新細明體"/>
        </w:rPr>
        <w:t>》</w:t>
      </w:r>
      <w:proofErr w:type="gramEnd"/>
      <w:r w:rsidRPr="00A8546B">
        <w:rPr>
          <w:rFonts w:hAnsi="新細明體"/>
        </w:rPr>
        <w:t>，台北：</w:t>
      </w:r>
      <w:r w:rsidRPr="00A8546B">
        <w:rPr>
          <w:rFonts w:hAnsi="新細明體" w:hint="eastAsia"/>
        </w:rPr>
        <w:t>雙葉</w:t>
      </w:r>
      <w:r w:rsidRPr="00A8546B">
        <w:rPr>
          <w:rFonts w:hAnsi="新細明體"/>
        </w:rPr>
        <w:t>。</w:t>
      </w:r>
    </w:p>
    <w:p w:rsidR="00BB47AF" w:rsidRDefault="00BB47AF" w:rsidP="00BB47AF">
      <w:pPr>
        <w:numPr>
          <w:ilvl w:val="0"/>
          <w:numId w:val="15"/>
        </w:numPr>
        <w:rPr>
          <w:rFonts w:hint="eastAsia"/>
        </w:rPr>
      </w:pPr>
      <w:r w:rsidRPr="00A8546B">
        <w:rPr>
          <w:rStyle w:val="a7"/>
          <w:b w:val="0"/>
        </w:rPr>
        <w:t>蕭新煌</w:t>
      </w:r>
      <w:r>
        <w:rPr>
          <w:rStyle w:val="a7"/>
          <w:rFonts w:hint="eastAsia"/>
          <w:b w:val="0"/>
        </w:rPr>
        <w:t>，</w:t>
      </w:r>
      <w:r w:rsidRPr="00A8546B">
        <w:rPr>
          <w:rStyle w:val="a7"/>
          <w:b w:val="0"/>
        </w:rPr>
        <w:t>江明修</w:t>
      </w:r>
      <w:r>
        <w:rPr>
          <w:rStyle w:val="a7"/>
          <w:rFonts w:hint="eastAsia"/>
          <w:b w:val="0"/>
        </w:rPr>
        <w:t>，</w:t>
      </w:r>
      <w:r w:rsidRPr="00A8546B">
        <w:rPr>
          <w:rStyle w:val="a7"/>
          <w:b w:val="0"/>
        </w:rPr>
        <w:t>官</w:t>
      </w:r>
      <w:proofErr w:type="gramStart"/>
      <w:r w:rsidRPr="00A8546B">
        <w:rPr>
          <w:rStyle w:val="a7"/>
          <w:b w:val="0"/>
        </w:rPr>
        <w:t>有垣主編</w:t>
      </w:r>
      <w:proofErr w:type="gramEnd"/>
      <w:r w:rsidRPr="00A8546B">
        <w:rPr>
          <w:rFonts w:hint="eastAsia"/>
        </w:rPr>
        <w:t>，</w:t>
      </w:r>
      <w:r>
        <w:rPr>
          <w:rStyle w:val="a7"/>
          <w:rFonts w:hint="eastAsia"/>
          <w:b w:val="0"/>
        </w:rPr>
        <w:t>2</w:t>
      </w:r>
      <w:r w:rsidRPr="00BB47AF">
        <w:rPr>
          <w:rStyle w:val="a7"/>
          <w:b w:val="0"/>
        </w:rPr>
        <w:t>006</w:t>
      </w:r>
      <w:r w:rsidRPr="00BB47AF">
        <w:rPr>
          <w:rStyle w:val="a7"/>
          <w:rFonts w:hAnsi="新細明體"/>
          <w:b w:val="0"/>
        </w:rPr>
        <w:t>，</w:t>
      </w:r>
      <w:proofErr w:type="gramStart"/>
      <w:r w:rsidRPr="00BB47AF">
        <w:t>《</w:t>
      </w:r>
      <w:proofErr w:type="gramEnd"/>
      <w:r w:rsidRPr="00BB47AF">
        <w:rPr>
          <w:rStyle w:val="a7"/>
          <w:b w:val="0"/>
        </w:rPr>
        <w:t>基</w:t>
      </w:r>
      <w:r w:rsidRPr="00A8546B">
        <w:rPr>
          <w:rStyle w:val="a7"/>
          <w:b w:val="0"/>
        </w:rPr>
        <w:t>金會在台灣</w:t>
      </w:r>
      <w:r w:rsidRPr="00A8546B">
        <w:rPr>
          <w:rStyle w:val="a7"/>
          <w:b w:val="0"/>
        </w:rPr>
        <w:t xml:space="preserve"> : </w:t>
      </w:r>
      <w:r w:rsidRPr="00A8546B">
        <w:rPr>
          <w:rStyle w:val="a7"/>
          <w:b w:val="0"/>
        </w:rPr>
        <w:t>結構與類型</w:t>
      </w:r>
      <w:proofErr w:type="gramStart"/>
      <w:r w:rsidRPr="00A8546B">
        <w:rPr>
          <w:rFonts w:hint="eastAsia"/>
        </w:rPr>
        <w:t>》</w:t>
      </w:r>
      <w:proofErr w:type="gramEnd"/>
      <w:r w:rsidRPr="00A8546B">
        <w:rPr>
          <w:rFonts w:hint="eastAsia"/>
        </w:rPr>
        <w:t>，台北：巨流。</w:t>
      </w:r>
    </w:p>
    <w:p w:rsidR="00BB47AF" w:rsidRPr="00A8546B" w:rsidRDefault="00BB47AF" w:rsidP="00BB47AF">
      <w:pPr>
        <w:numPr>
          <w:ilvl w:val="0"/>
          <w:numId w:val="15"/>
        </w:numPr>
        <w:rPr>
          <w:rFonts w:hint="eastAsia"/>
        </w:rPr>
      </w:pPr>
      <w:r w:rsidRPr="00A8546B">
        <w:rPr>
          <w:rFonts w:hint="eastAsia"/>
        </w:rPr>
        <w:t>顧忠華，</w:t>
      </w:r>
      <w:r w:rsidRPr="00A8546B">
        <w:rPr>
          <w:rFonts w:hint="eastAsia"/>
        </w:rPr>
        <w:t>2005</w:t>
      </w:r>
      <w:r w:rsidRPr="00A8546B">
        <w:rPr>
          <w:rFonts w:hint="eastAsia"/>
        </w:rPr>
        <w:t>，</w:t>
      </w:r>
      <w:proofErr w:type="gramStart"/>
      <w:r w:rsidRPr="00A8546B">
        <w:rPr>
          <w:rFonts w:hint="eastAsia"/>
        </w:rPr>
        <w:t>《</w:t>
      </w:r>
      <w:proofErr w:type="gramEnd"/>
      <w:r w:rsidRPr="00A8546B">
        <w:rPr>
          <w:rFonts w:hint="eastAsia"/>
        </w:rPr>
        <w:t>解讀社會力：台灣的學習社會與公民社會</w:t>
      </w:r>
      <w:proofErr w:type="gramStart"/>
      <w:r w:rsidRPr="00A8546B">
        <w:rPr>
          <w:rFonts w:hint="eastAsia"/>
        </w:rPr>
        <w:t>》</w:t>
      </w:r>
      <w:proofErr w:type="gramEnd"/>
      <w:r w:rsidRPr="00A8546B">
        <w:rPr>
          <w:rFonts w:hint="eastAsia"/>
        </w:rPr>
        <w:t>，台北：左岸。</w:t>
      </w:r>
    </w:p>
    <w:p w:rsidR="00FC6086" w:rsidRDefault="00FC6086" w:rsidP="009C4623">
      <w:pPr>
        <w:rPr>
          <w:rFonts w:hint="eastAsia"/>
        </w:rPr>
      </w:pPr>
    </w:p>
    <w:p w:rsidR="00CF568C" w:rsidRDefault="00CF568C" w:rsidP="009C4623">
      <w:r>
        <w:rPr>
          <w:rFonts w:hint="eastAsia"/>
        </w:rPr>
        <w:t>第三部分　參考教材</w:t>
      </w:r>
    </w:p>
    <w:p w:rsidR="00CF568C" w:rsidRPr="00CF568C" w:rsidRDefault="00CF568C" w:rsidP="009C4623">
      <w:pPr>
        <w:jc w:val="both"/>
        <w:rPr>
          <w:rFonts w:eastAsia="標楷體" w:hint="eastAsia"/>
          <w:sz w:val="28"/>
        </w:rPr>
      </w:pPr>
    </w:p>
    <w:p w:rsidR="0032281A" w:rsidRPr="00A20B06" w:rsidRDefault="0032281A" w:rsidP="0032281A">
      <w:pPr>
        <w:numPr>
          <w:ilvl w:val="0"/>
          <w:numId w:val="18"/>
        </w:numPr>
      </w:pPr>
      <w:r w:rsidRPr="00A20B06">
        <w:t>孫煒，</w:t>
      </w:r>
      <w:r w:rsidRPr="00A20B06">
        <w:t>2007</w:t>
      </w:r>
      <w:r w:rsidRPr="00A20B06">
        <w:t>，《第三部門的治理研究》，台北：</w:t>
      </w:r>
      <w:proofErr w:type="gramStart"/>
      <w:r>
        <w:rPr>
          <w:rFonts w:hint="eastAsia"/>
        </w:rPr>
        <w:t>翰蘆</w:t>
      </w:r>
      <w:proofErr w:type="gramEnd"/>
      <w:r w:rsidRPr="00A20B06">
        <w:t>。</w:t>
      </w:r>
    </w:p>
    <w:p w:rsidR="0028255F" w:rsidRPr="00510EF9" w:rsidRDefault="0028255F" w:rsidP="00B653F9">
      <w:pPr>
        <w:jc w:val="both"/>
        <w:rPr>
          <w:rFonts w:hint="eastAsia"/>
        </w:rPr>
      </w:pPr>
    </w:p>
    <w:p w:rsidR="0028255F" w:rsidRDefault="0028255F" w:rsidP="009C4623">
      <w:pPr>
        <w:jc w:val="both"/>
      </w:pPr>
    </w:p>
    <w:sectPr w:rsidR="0028255F">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BAE" w:rsidRDefault="00E76BAE">
      <w:r>
        <w:separator/>
      </w:r>
    </w:p>
  </w:endnote>
  <w:endnote w:type="continuationSeparator" w:id="0">
    <w:p w:rsidR="00E76BAE" w:rsidRDefault="00E76B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FA" w:rsidRDefault="000672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0672FA" w:rsidRDefault="000672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FA" w:rsidRDefault="000672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06316">
      <w:rPr>
        <w:rStyle w:val="a6"/>
        <w:noProof/>
      </w:rPr>
      <w:t>2</w:t>
    </w:r>
    <w:r>
      <w:rPr>
        <w:rStyle w:val="a6"/>
      </w:rPr>
      <w:fldChar w:fldCharType="end"/>
    </w:r>
  </w:p>
  <w:p w:rsidR="000672FA" w:rsidRDefault="000672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BAE" w:rsidRDefault="00E76BAE">
      <w:r>
        <w:separator/>
      </w:r>
    </w:p>
  </w:footnote>
  <w:footnote w:type="continuationSeparator" w:id="0">
    <w:p w:rsidR="00E76BAE" w:rsidRDefault="00E76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FB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nsid w:val="07E1718B"/>
    <w:multiLevelType w:val="hybridMultilevel"/>
    <w:tmpl w:val="53E02520"/>
    <w:lvl w:ilvl="0" w:tplc="50E8603A">
      <w:start w:val="1"/>
      <w:numFmt w:val="bullet"/>
      <w:lvlText w:val=""/>
      <w:lvlJc w:val="left"/>
      <w:pPr>
        <w:tabs>
          <w:tab w:val="num" w:pos="480"/>
        </w:tabs>
        <w:ind w:left="480" w:hanging="480"/>
      </w:pPr>
      <w:rPr>
        <w:rFonts w:ascii="Wingdings"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8A5507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nsid w:val="0E340CEA"/>
    <w:multiLevelType w:val="hybridMultilevel"/>
    <w:tmpl w:val="056090AC"/>
    <w:lvl w:ilvl="0" w:tplc="50E8603A">
      <w:start w:val="1"/>
      <w:numFmt w:val="bullet"/>
      <w:lvlText w:val=""/>
      <w:lvlJc w:val="left"/>
      <w:pPr>
        <w:tabs>
          <w:tab w:val="num" w:pos="480"/>
        </w:tabs>
        <w:ind w:left="480" w:hanging="480"/>
      </w:pPr>
      <w:rPr>
        <w:rFonts w:ascii="Wingdings"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9754E7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nsid w:val="1AF2761D"/>
    <w:multiLevelType w:val="hybridMultilevel"/>
    <w:tmpl w:val="F094FFBA"/>
    <w:lvl w:ilvl="0" w:tplc="50E8603A">
      <w:start w:val="1"/>
      <w:numFmt w:val="bullet"/>
      <w:lvlText w:val=""/>
      <w:lvlJc w:val="left"/>
      <w:pPr>
        <w:tabs>
          <w:tab w:val="num" w:pos="480"/>
        </w:tabs>
        <w:ind w:left="480" w:hanging="480"/>
      </w:pPr>
      <w:rPr>
        <w:rFonts w:ascii="Wingdings"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D8228F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nsid w:val="285320F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nsid w:val="2E5824F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nsid w:val="2E5B0E2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nsid w:val="3009144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nsid w:val="32633ED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nsid w:val="35FF2F8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nsid w:val="375E62CD"/>
    <w:multiLevelType w:val="singleLevel"/>
    <w:tmpl w:val="589E3798"/>
    <w:lvl w:ilvl="0">
      <w:start w:val="1"/>
      <w:numFmt w:val="taiwaneseCountingThousand"/>
      <w:lvlText w:val="（%1）"/>
      <w:lvlJc w:val="left"/>
      <w:pPr>
        <w:tabs>
          <w:tab w:val="num" w:pos="720"/>
        </w:tabs>
        <w:ind w:left="720" w:hanging="720"/>
      </w:pPr>
      <w:rPr>
        <w:rFonts w:hint="eastAsia"/>
      </w:rPr>
    </w:lvl>
  </w:abstractNum>
  <w:abstractNum w:abstractNumId="14">
    <w:nsid w:val="3A4F1CCE"/>
    <w:multiLevelType w:val="hybridMultilevel"/>
    <w:tmpl w:val="731C8ADE"/>
    <w:lvl w:ilvl="0" w:tplc="50E8603A">
      <w:start w:val="1"/>
      <w:numFmt w:val="bullet"/>
      <w:lvlText w:val=""/>
      <w:lvlJc w:val="left"/>
      <w:pPr>
        <w:tabs>
          <w:tab w:val="num" w:pos="480"/>
        </w:tabs>
        <w:ind w:left="480" w:hanging="480"/>
      </w:pPr>
      <w:rPr>
        <w:rFonts w:ascii="Wingdings"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570C334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6">
    <w:nsid w:val="6517606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7">
    <w:nsid w:val="723E79FA"/>
    <w:multiLevelType w:val="hybridMultilevel"/>
    <w:tmpl w:val="55B43CD0"/>
    <w:lvl w:ilvl="0" w:tplc="50E8603A">
      <w:start w:val="1"/>
      <w:numFmt w:val="bullet"/>
      <w:lvlText w:val=""/>
      <w:lvlJc w:val="left"/>
      <w:pPr>
        <w:tabs>
          <w:tab w:val="num" w:pos="480"/>
        </w:tabs>
        <w:ind w:left="480" w:hanging="480"/>
      </w:pPr>
      <w:rPr>
        <w:rFonts w:ascii="Wingdings"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3"/>
  </w:num>
  <w:num w:numId="2">
    <w:abstractNumId w:val="8"/>
  </w:num>
  <w:num w:numId="3">
    <w:abstractNumId w:val="7"/>
  </w:num>
  <w:num w:numId="4">
    <w:abstractNumId w:val="0"/>
  </w:num>
  <w:num w:numId="5">
    <w:abstractNumId w:val="15"/>
  </w:num>
  <w:num w:numId="6">
    <w:abstractNumId w:val="10"/>
  </w:num>
  <w:num w:numId="7">
    <w:abstractNumId w:val="6"/>
  </w:num>
  <w:num w:numId="8">
    <w:abstractNumId w:val="9"/>
  </w:num>
  <w:num w:numId="9">
    <w:abstractNumId w:val="11"/>
  </w:num>
  <w:num w:numId="10">
    <w:abstractNumId w:val="2"/>
  </w:num>
  <w:num w:numId="11">
    <w:abstractNumId w:val="12"/>
  </w:num>
  <w:num w:numId="12">
    <w:abstractNumId w:val="16"/>
  </w:num>
  <w:num w:numId="13">
    <w:abstractNumId w:val="4"/>
  </w:num>
  <w:num w:numId="14">
    <w:abstractNumId w:val="1"/>
  </w:num>
  <w:num w:numId="15">
    <w:abstractNumId w:val="17"/>
  </w:num>
  <w:num w:numId="16">
    <w:abstractNumId w:val="3"/>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15B9C"/>
    <w:rsid w:val="000672FA"/>
    <w:rsid w:val="0028255F"/>
    <w:rsid w:val="0032281A"/>
    <w:rsid w:val="00352F16"/>
    <w:rsid w:val="00467F30"/>
    <w:rsid w:val="0048265A"/>
    <w:rsid w:val="00510EF9"/>
    <w:rsid w:val="00515B9C"/>
    <w:rsid w:val="005D0F40"/>
    <w:rsid w:val="00602700"/>
    <w:rsid w:val="00606316"/>
    <w:rsid w:val="00623108"/>
    <w:rsid w:val="0066359A"/>
    <w:rsid w:val="007B2200"/>
    <w:rsid w:val="0087614D"/>
    <w:rsid w:val="00877F8E"/>
    <w:rsid w:val="00916240"/>
    <w:rsid w:val="009C4623"/>
    <w:rsid w:val="00B070E5"/>
    <w:rsid w:val="00B653F9"/>
    <w:rsid w:val="00B953BD"/>
    <w:rsid w:val="00BB47AF"/>
    <w:rsid w:val="00C43648"/>
    <w:rsid w:val="00CF568C"/>
    <w:rsid w:val="00D654AE"/>
    <w:rsid w:val="00D67207"/>
    <w:rsid w:val="00E76BAE"/>
    <w:rsid w:val="00ED4E60"/>
    <w:rsid w:val="00F11464"/>
    <w:rsid w:val="00FA1D1C"/>
    <w:rsid w:val="00FB3785"/>
    <w:rsid w:val="00FC6086"/>
    <w:rsid w:val="00FF5FF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pacing w:line="360" w:lineRule="atLeast"/>
      <w:jc w:val="center"/>
      <w:textAlignment w:val="baseline"/>
      <w:outlineLvl w:val="0"/>
    </w:pPr>
    <w:rPr>
      <w:kern w:val="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a4">
    <w:name w:val="Body Text Indent"/>
    <w:basedOn w:val="a"/>
    <w:pPr>
      <w:ind w:left="720" w:hanging="720"/>
    </w:pPr>
    <w:rPr>
      <w:rFonts w:ascii="新細明體"/>
    </w:rPr>
  </w:style>
  <w:style w:type="paragraph" w:styleId="2">
    <w:name w:val="Body Text Indent 2"/>
    <w:basedOn w:val="a"/>
    <w:pPr>
      <w:ind w:left="480" w:hanging="480"/>
    </w:p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3">
    <w:name w:val="Body Text Indent 3"/>
    <w:basedOn w:val="a"/>
    <w:pPr>
      <w:ind w:left="425" w:hanging="425"/>
    </w:pPr>
  </w:style>
  <w:style w:type="character" w:styleId="a7">
    <w:name w:val="Strong"/>
    <w:basedOn w:val="a0"/>
    <w:qFormat/>
    <w:rsid w:val="00BB47AF"/>
    <w:rPr>
      <w:b/>
      <w:bCs/>
    </w:rPr>
  </w:style>
  <w:style w:type="paragraph" w:styleId="a8">
    <w:name w:val="header"/>
    <w:basedOn w:val="a"/>
    <w:link w:val="a9"/>
    <w:uiPriority w:val="99"/>
    <w:semiHidden/>
    <w:unhideWhenUsed/>
    <w:rsid w:val="0087614D"/>
    <w:pPr>
      <w:tabs>
        <w:tab w:val="center" w:pos="4153"/>
        <w:tab w:val="right" w:pos="8306"/>
      </w:tabs>
      <w:snapToGrid w:val="0"/>
    </w:pPr>
    <w:rPr>
      <w:sz w:val="20"/>
    </w:rPr>
  </w:style>
  <w:style w:type="character" w:customStyle="1" w:styleId="a9">
    <w:name w:val="頁首 字元"/>
    <w:basedOn w:val="a0"/>
    <w:link w:val="a8"/>
    <w:uiPriority w:val="99"/>
    <w:semiHidden/>
    <w:rsid w:val="0087614D"/>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ysun@cc.nc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Links>
    <vt:vector size="6" baseType="variant">
      <vt:variant>
        <vt:i4>4522108</vt:i4>
      </vt:variant>
      <vt:variant>
        <vt:i4>0</vt:i4>
      </vt:variant>
      <vt:variant>
        <vt:i4>0</vt:i4>
      </vt:variant>
      <vt:variant>
        <vt:i4>5</vt:i4>
      </vt:variant>
      <vt:variant>
        <vt:lpwstr>mailto:waysun@cc.ncu.edu.tw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公共政策研究方法專題研究</dc:title>
  <dc:creator>ncu</dc:creator>
  <cp:lastModifiedBy>Kuanjr</cp:lastModifiedBy>
  <cp:revision>2</cp:revision>
  <cp:lastPrinted>2004-09-20T04:32:00Z</cp:lastPrinted>
  <dcterms:created xsi:type="dcterms:W3CDTF">2012-02-21T07:15:00Z</dcterms:created>
  <dcterms:modified xsi:type="dcterms:W3CDTF">2012-02-21T07:15:00Z</dcterms:modified>
</cp:coreProperties>
</file>