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0" w:rsidRPr="00E12954" w:rsidRDefault="00F22C19" w:rsidP="00E12954">
      <w:pPr>
        <w:jc w:val="distribute"/>
        <w:rPr>
          <w:rFonts w:ascii="華康中圓體" w:eastAsia="華康中圓體" w:hint="eastAsia"/>
          <w:sz w:val="36"/>
          <w:szCs w:val="36"/>
        </w:rPr>
      </w:pPr>
      <w:r>
        <w:rPr>
          <w:rFonts w:ascii="華康中圓體" w:eastAsia="華康中圓體" w:hint="eastAsia"/>
          <w:sz w:val="36"/>
          <w:szCs w:val="36"/>
        </w:rPr>
        <w:t>臺大</w:t>
      </w:r>
      <w:r w:rsidR="00BA7380" w:rsidRPr="00E12954">
        <w:rPr>
          <w:rFonts w:ascii="華康中圓體" w:eastAsia="華康中圓體" w:hint="eastAsia"/>
          <w:sz w:val="36"/>
          <w:szCs w:val="36"/>
        </w:rPr>
        <w:t>政治學系</w:t>
      </w:r>
      <w:r w:rsidR="00045AF5">
        <w:rPr>
          <w:rFonts w:ascii="華康中圓體" w:eastAsia="華康中圓體" w:hint="eastAsia"/>
          <w:sz w:val="36"/>
          <w:szCs w:val="36"/>
        </w:rPr>
        <w:t>新開</w:t>
      </w:r>
      <w:r w:rsidR="00BA7380" w:rsidRPr="00E12954">
        <w:rPr>
          <w:rFonts w:ascii="華康中圓體" w:eastAsia="華康中圓體" w:hint="eastAsia"/>
          <w:sz w:val="36"/>
          <w:szCs w:val="36"/>
        </w:rPr>
        <w:t>課程大綱</w:t>
      </w:r>
    </w:p>
    <w:p w:rsidR="00AE4C1C" w:rsidRDefault="00AE4C1C">
      <w:pPr>
        <w:rPr>
          <w:rFonts w:hint="eastAsi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320"/>
        <w:gridCol w:w="1738"/>
        <w:gridCol w:w="2520"/>
      </w:tblGrid>
      <w:tr w:rsidR="003062FF" w:rsidRPr="003465A6" w:rsidTr="003465A6">
        <w:trPr>
          <w:trHeight w:val="885"/>
        </w:trPr>
        <w:tc>
          <w:tcPr>
            <w:tcW w:w="1620" w:type="dxa"/>
          </w:tcPr>
          <w:p w:rsidR="003062FF" w:rsidRPr="003465A6" w:rsidRDefault="003062FF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課程名稱</w:t>
            </w:r>
          </w:p>
          <w:p w:rsidR="003062FF" w:rsidRPr="003465A6" w:rsidRDefault="003062FF" w:rsidP="003465A6">
            <w:pPr>
              <w:spacing w:line="360" w:lineRule="auto"/>
              <w:ind w:firstLine="480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 xml:space="preserve">        </w:t>
            </w:r>
          </w:p>
        </w:tc>
        <w:tc>
          <w:tcPr>
            <w:tcW w:w="8578" w:type="dxa"/>
            <w:gridSpan w:val="3"/>
          </w:tcPr>
          <w:p w:rsidR="003062FF" w:rsidRPr="003465A6" w:rsidRDefault="003062FF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（中文）</w:t>
            </w:r>
            <w:r w:rsidR="00C31EB6" w:rsidRPr="003465A6">
              <w:rPr>
                <w:rFonts w:ascii="新細明體" w:hAnsi="新細明體" w:hint="eastAsia"/>
                <w:b/>
                <w:sz w:val="27"/>
                <w:szCs w:val="27"/>
              </w:rPr>
              <w:t>中國傳統對外思想</w:t>
            </w:r>
            <w:r w:rsidR="00ED7915" w:rsidRPr="003465A6">
              <w:rPr>
                <w:rFonts w:ascii="新細明體" w:hAnsi="新細明體" w:hint="eastAsia"/>
                <w:b/>
                <w:sz w:val="27"/>
                <w:szCs w:val="27"/>
              </w:rPr>
              <w:t>研究</w:t>
            </w:r>
            <w:r w:rsidR="00B77B78">
              <w:rPr>
                <w:rFonts w:ascii="新細明體" w:hAnsi="新細明體" w:hint="eastAsia"/>
                <w:b/>
                <w:sz w:val="27"/>
                <w:szCs w:val="27"/>
              </w:rPr>
              <w:t>專題</w:t>
            </w:r>
            <w:r w:rsidR="00FD77A9">
              <w:rPr>
                <w:rFonts w:ascii="新細明體" w:hAnsi="新細明體" w:hint="eastAsia"/>
                <w:b/>
                <w:sz w:val="27"/>
                <w:szCs w:val="27"/>
              </w:rPr>
              <w:t>（研究）</w:t>
            </w:r>
          </w:p>
          <w:p w:rsidR="003062FF" w:rsidRPr="003465A6" w:rsidRDefault="003062FF" w:rsidP="0056071A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（英文</w:t>
            </w:r>
            <w:r w:rsidR="00ED7915" w:rsidRPr="003465A6">
              <w:rPr>
                <w:rFonts w:ascii="新細明體" w:hAnsi="新細明體" w:hint="eastAsia"/>
                <w:b/>
                <w:sz w:val="27"/>
                <w:szCs w:val="27"/>
              </w:rPr>
              <w:t>）</w:t>
            </w:r>
            <w:r w:rsidR="009B294C">
              <w:rPr>
                <w:rFonts w:ascii="新細明體" w:hAnsi="新細明體" w:hint="eastAsia"/>
                <w:b/>
                <w:sz w:val="27"/>
                <w:szCs w:val="27"/>
              </w:rPr>
              <w:t>Seminar on</w:t>
            </w:r>
            <w:r w:rsidR="0056071A">
              <w:rPr>
                <w:rFonts w:ascii="新細明體" w:hAnsi="新細明體" w:hint="eastAsia"/>
                <w:b/>
                <w:sz w:val="27"/>
                <w:szCs w:val="27"/>
              </w:rPr>
              <w:t xml:space="preserve"> </w:t>
            </w:r>
            <w:r w:rsidR="00ED7915" w:rsidRPr="003465A6">
              <w:rPr>
                <w:rFonts w:ascii="新細明體" w:hAnsi="新細明體" w:hint="eastAsia"/>
                <w:b/>
                <w:sz w:val="27"/>
                <w:szCs w:val="27"/>
              </w:rPr>
              <w:t>Traditional Thought</w:t>
            </w:r>
            <w:r w:rsidR="0056071A">
              <w:rPr>
                <w:rFonts w:ascii="新細明體" w:hAnsi="新細明體" w:hint="eastAsia"/>
                <w:b/>
                <w:sz w:val="27"/>
                <w:szCs w:val="27"/>
              </w:rPr>
              <w:t xml:space="preserve">s on </w:t>
            </w:r>
            <w:r w:rsidR="00ED7915" w:rsidRPr="003465A6">
              <w:rPr>
                <w:rFonts w:ascii="新細明體" w:hAnsi="新細明體" w:hint="eastAsia"/>
                <w:b/>
                <w:sz w:val="27"/>
                <w:szCs w:val="27"/>
              </w:rPr>
              <w:t>Chinese Foreign Relation</w:t>
            </w:r>
            <w:r w:rsidR="0056071A">
              <w:rPr>
                <w:rFonts w:ascii="新細明體" w:hAnsi="新細明體" w:hint="eastAsia"/>
                <w:b/>
                <w:sz w:val="27"/>
                <w:szCs w:val="27"/>
              </w:rPr>
              <w:t>s</w:t>
            </w:r>
          </w:p>
        </w:tc>
      </w:tr>
      <w:tr w:rsidR="00FA574E" w:rsidRPr="003465A6" w:rsidTr="003465A6">
        <w:trPr>
          <w:trHeight w:val="720"/>
        </w:trPr>
        <w:tc>
          <w:tcPr>
            <w:tcW w:w="1620" w:type="dxa"/>
          </w:tcPr>
          <w:p w:rsidR="00FA574E" w:rsidRPr="003465A6" w:rsidRDefault="00FA574E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授課教師</w:t>
            </w:r>
          </w:p>
        </w:tc>
        <w:tc>
          <w:tcPr>
            <w:tcW w:w="4320" w:type="dxa"/>
          </w:tcPr>
          <w:p w:rsidR="00FA574E" w:rsidRPr="003465A6" w:rsidRDefault="00C31EB6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張亞中</w:t>
            </w:r>
          </w:p>
        </w:tc>
        <w:tc>
          <w:tcPr>
            <w:tcW w:w="1738" w:type="dxa"/>
          </w:tcPr>
          <w:p w:rsidR="00FA574E" w:rsidRPr="003465A6" w:rsidRDefault="00D60407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授課時間</w:t>
            </w:r>
          </w:p>
        </w:tc>
        <w:tc>
          <w:tcPr>
            <w:tcW w:w="2520" w:type="dxa"/>
          </w:tcPr>
          <w:p w:rsidR="00FA574E" w:rsidRPr="003465A6" w:rsidRDefault="00C31EB6" w:rsidP="00B87BED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週四</w:t>
            </w:r>
            <w:r w:rsidR="00B87BED">
              <w:rPr>
                <w:rFonts w:ascii="新細明體" w:hAnsi="新細明體" w:hint="eastAsia"/>
                <w:b/>
                <w:sz w:val="27"/>
                <w:szCs w:val="27"/>
              </w:rPr>
              <w:t>第34節</w:t>
            </w:r>
          </w:p>
        </w:tc>
      </w:tr>
      <w:tr w:rsidR="00FA574E" w:rsidRPr="003465A6" w:rsidTr="003465A6">
        <w:trPr>
          <w:trHeight w:val="686"/>
        </w:trPr>
        <w:tc>
          <w:tcPr>
            <w:tcW w:w="1620" w:type="dxa"/>
          </w:tcPr>
          <w:p w:rsidR="00FA574E" w:rsidRPr="003465A6" w:rsidRDefault="00FA574E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研究室號碼</w:t>
            </w:r>
          </w:p>
        </w:tc>
        <w:tc>
          <w:tcPr>
            <w:tcW w:w="4320" w:type="dxa"/>
          </w:tcPr>
          <w:p w:rsidR="00FA574E" w:rsidRPr="003465A6" w:rsidRDefault="00FA574E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</w:p>
        </w:tc>
        <w:tc>
          <w:tcPr>
            <w:tcW w:w="1738" w:type="dxa"/>
          </w:tcPr>
          <w:p w:rsidR="00FA574E" w:rsidRPr="003465A6" w:rsidRDefault="00FA574E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Office Hours</w:t>
            </w:r>
          </w:p>
        </w:tc>
        <w:tc>
          <w:tcPr>
            <w:tcW w:w="2520" w:type="dxa"/>
          </w:tcPr>
          <w:p w:rsidR="00FA574E" w:rsidRPr="003465A6" w:rsidRDefault="00F90C1A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週三10-12時</w:t>
            </w:r>
          </w:p>
        </w:tc>
      </w:tr>
      <w:tr w:rsidR="00FA574E" w:rsidRPr="003465A6" w:rsidTr="003465A6">
        <w:trPr>
          <w:trHeight w:val="510"/>
        </w:trPr>
        <w:tc>
          <w:tcPr>
            <w:tcW w:w="1620" w:type="dxa"/>
          </w:tcPr>
          <w:p w:rsidR="00FA574E" w:rsidRPr="003465A6" w:rsidRDefault="00593B09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課程性質</w:t>
            </w:r>
          </w:p>
        </w:tc>
        <w:tc>
          <w:tcPr>
            <w:tcW w:w="4320" w:type="dxa"/>
          </w:tcPr>
          <w:p w:rsidR="00593B09" w:rsidRPr="003465A6" w:rsidRDefault="00461446" w:rsidP="00461446">
            <w:pPr>
              <w:ind w:firstLineChars="50" w:firstLine="90"/>
              <w:rPr>
                <w:rFonts w:ascii="新細明體" w:hAnsi="新細明體" w:hint="eastAsia"/>
                <w:spacing w:val="-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■ </w:t>
            </w:r>
            <w:r w:rsidR="00F57B0D" w:rsidRPr="003465A6"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博士班課程（D字頭）  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■ </w:t>
            </w:r>
            <w:r w:rsidR="00F57B0D" w:rsidRPr="003465A6">
              <w:rPr>
                <w:rFonts w:ascii="新細明體" w:hAnsi="新細明體" w:hint="eastAsia"/>
                <w:spacing w:val="-6"/>
                <w:sz w:val="18"/>
                <w:szCs w:val="18"/>
              </w:rPr>
              <w:t>碩士班課程（M字頭）</w:t>
            </w:r>
          </w:p>
          <w:p w:rsidR="00FA574E" w:rsidRPr="00461446" w:rsidRDefault="00FA574E" w:rsidP="00DE4366">
            <w:pPr>
              <w:ind w:firstLineChars="50" w:firstLine="90"/>
              <w:rPr>
                <w:rFonts w:ascii="新細明體" w:hAnsi="新細明體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FA574E" w:rsidRPr="003465A6" w:rsidRDefault="009E66A9" w:rsidP="003465A6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3465A6">
              <w:rPr>
                <w:rFonts w:ascii="新細明體" w:hAnsi="新細明體" w:hint="eastAsia"/>
                <w:b/>
                <w:sz w:val="27"/>
                <w:szCs w:val="27"/>
              </w:rPr>
              <w:t>加選方式</w:t>
            </w:r>
          </w:p>
        </w:tc>
        <w:tc>
          <w:tcPr>
            <w:tcW w:w="2520" w:type="dxa"/>
          </w:tcPr>
          <w:p w:rsidR="001503C2" w:rsidRPr="003465A6" w:rsidRDefault="00D370A3" w:rsidP="003465A6">
            <w:pPr>
              <w:numPr>
                <w:ilvl w:val="0"/>
                <w:numId w:val="2"/>
              </w:numPr>
              <w:ind w:left="357" w:hanging="357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3465A6">
              <w:rPr>
                <w:rFonts w:ascii="新細明體" w:hAnsi="新細明體" w:hint="eastAsia"/>
                <w:b/>
                <w:sz w:val="18"/>
                <w:szCs w:val="18"/>
              </w:rPr>
              <w:t>1. 不限人數。</w:t>
            </w:r>
          </w:p>
          <w:p w:rsidR="00D370A3" w:rsidRPr="003465A6" w:rsidRDefault="00461446" w:rsidP="00461446">
            <w:pPr>
              <w:rPr>
                <w:rFonts w:ascii="新細明體" w:hAnsi="新細明體" w:hint="eastAsia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■  </w:t>
            </w:r>
            <w:r w:rsidR="00D370A3" w:rsidRPr="003465A6">
              <w:rPr>
                <w:rFonts w:ascii="新細明體" w:hAnsi="新細明體" w:hint="eastAsia"/>
                <w:b/>
                <w:sz w:val="18"/>
                <w:szCs w:val="18"/>
              </w:rPr>
              <w:t>2. 發給授權碼</w:t>
            </w:r>
          </w:p>
          <w:p w:rsidR="00D370A3" w:rsidRPr="003465A6" w:rsidRDefault="00D370A3" w:rsidP="003465A6">
            <w:pPr>
              <w:numPr>
                <w:ilvl w:val="0"/>
                <w:numId w:val="2"/>
              </w:numPr>
              <w:ind w:left="357" w:hanging="357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3465A6">
              <w:rPr>
                <w:rFonts w:ascii="新細明體" w:hAnsi="新細明體" w:hint="eastAsia"/>
                <w:b/>
                <w:sz w:val="18"/>
                <w:szCs w:val="18"/>
              </w:rPr>
              <w:t xml:space="preserve">3. </w:t>
            </w:r>
            <w:r w:rsidR="0038429A" w:rsidRPr="003465A6">
              <w:rPr>
                <w:rFonts w:ascii="新細明體" w:hAnsi="新細明體" w:hint="eastAsia"/>
                <w:b/>
                <w:sz w:val="18"/>
                <w:szCs w:val="18"/>
              </w:rPr>
              <w:t>人數限制</w:t>
            </w:r>
            <w:r w:rsidR="0038429A" w:rsidRPr="003465A6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   </w:t>
            </w:r>
            <w:r w:rsidR="0038429A" w:rsidRPr="003465A6">
              <w:rPr>
                <w:rFonts w:ascii="新細明體" w:hAnsi="新細明體" w:hint="eastAsia"/>
                <w:b/>
                <w:sz w:val="18"/>
                <w:szCs w:val="18"/>
              </w:rPr>
              <w:t>人。</w:t>
            </w:r>
          </w:p>
        </w:tc>
      </w:tr>
    </w:tbl>
    <w:p w:rsidR="00042956" w:rsidRDefault="00042956">
      <w:pPr>
        <w:rPr>
          <w:rFonts w:hint="eastAsia"/>
        </w:rPr>
      </w:pPr>
    </w:p>
    <w:p w:rsidR="001E0ABF" w:rsidRPr="00C31EB6" w:rsidRDefault="00940C56" w:rsidP="001E0ABF">
      <w:pPr>
        <w:tabs>
          <w:tab w:val="left" w:pos="540"/>
        </w:tabs>
        <w:rPr>
          <w:rFonts w:hint="eastAsia"/>
          <w:b/>
          <w:sz w:val="27"/>
          <w:szCs w:val="27"/>
        </w:rPr>
      </w:pPr>
      <w:r>
        <w:rPr>
          <w:rFonts w:hint="eastAsia"/>
          <w:b/>
          <w:sz w:val="27"/>
          <w:szCs w:val="27"/>
          <w:u w:val="single"/>
        </w:rPr>
        <w:t>課程概述</w:t>
      </w:r>
      <w:r w:rsidR="001E0ABF" w:rsidRPr="00611493">
        <w:rPr>
          <w:rFonts w:hint="eastAsia"/>
          <w:b/>
          <w:sz w:val="27"/>
          <w:szCs w:val="27"/>
          <w:u w:val="single"/>
        </w:rPr>
        <w:t>：</w:t>
      </w:r>
      <w:r w:rsidR="00C31EB6" w:rsidRPr="00C31EB6">
        <w:rPr>
          <w:rFonts w:hint="eastAsia"/>
          <w:b/>
          <w:sz w:val="27"/>
          <w:szCs w:val="27"/>
        </w:rPr>
        <w:t>探討</w:t>
      </w:r>
      <w:r w:rsidR="00C31EB6">
        <w:rPr>
          <w:rFonts w:hint="eastAsia"/>
          <w:b/>
          <w:sz w:val="27"/>
          <w:szCs w:val="27"/>
        </w:rPr>
        <w:t>中國</w:t>
      </w:r>
      <w:r w:rsidR="00DE4366">
        <w:rPr>
          <w:rFonts w:hint="eastAsia"/>
          <w:b/>
          <w:sz w:val="27"/>
          <w:szCs w:val="27"/>
        </w:rPr>
        <w:t>傳統對外關係思想的形成、內容與實踐。</w:t>
      </w:r>
    </w:p>
    <w:p w:rsidR="008C2C7D" w:rsidRDefault="008C2C7D" w:rsidP="008C2C7D">
      <w:pPr>
        <w:rPr>
          <w:rFonts w:hint="eastAsia"/>
          <w:bdr w:val="single" w:sz="4" w:space="0" w:color="auto"/>
        </w:rPr>
      </w:pPr>
    </w:p>
    <w:p w:rsidR="00C572AC" w:rsidRDefault="00C572AC" w:rsidP="008C2C7D">
      <w:pPr>
        <w:rPr>
          <w:rFonts w:hint="eastAsia"/>
          <w:bdr w:val="single" w:sz="4" w:space="0" w:color="auto"/>
        </w:rPr>
      </w:pPr>
    </w:p>
    <w:p w:rsidR="00F20D9F" w:rsidRPr="0079712B" w:rsidRDefault="00F20D9F" w:rsidP="00F20D9F">
      <w:pPr>
        <w:tabs>
          <w:tab w:val="left" w:pos="540"/>
        </w:tabs>
        <w:rPr>
          <w:rFonts w:hint="eastAsia"/>
          <w:b/>
          <w:sz w:val="27"/>
          <w:szCs w:val="27"/>
        </w:rPr>
      </w:pPr>
      <w:r w:rsidRPr="00611493">
        <w:rPr>
          <w:rFonts w:hint="eastAsia"/>
          <w:b/>
          <w:sz w:val="27"/>
          <w:szCs w:val="27"/>
          <w:u w:val="single"/>
        </w:rPr>
        <w:t>課程</w:t>
      </w:r>
      <w:r w:rsidR="00940C56">
        <w:rPr>
          <w:rFonts w:hint="eastAsia"/>
          <w:b/>
          <w:sz w:val="27"/>
          <w:szCs w:val="27"/>
          <w:u w:val="single"/>
        </w:rPr>
        <w:t>目標</w:t>
      </w:r>
      <w:r w:rsidRPr="00611493">
        <w:rPr>
          <w:rFonts w:hint="eastAsia"/>
          <w:b/>
          <w:sz w:val="27"/>
          <w:szCs w:val="27"/>
          <w:u w:val="single"/>
        </w:rPr>
        <w:t>：</w:t>
      </w:r>
      <w:proofErr w:type="gramStart"/>
      <w:r w:rsidR="00DE4366">
        <w:rPr>
          <w:rFonts w:hint="eastAsia"/>
          <w:b/>
          <w:sz w:val="27"/>
          <w:szCs w:val="27"/>
        </w:rPr>
        <w:t>讓碩博士</w:t>
      </w:r>
      <w:proofErr w:type="gramEnd"/>
      <w:r w:rsidR="00DE4366">
        <w:rPr>
          <w:rFonts w:hint="eastAsia"/>
          <w:b/>
          <w:sz w:val="27"/>
          <w:szCs w:val="27"/>
        </w:rPr>
        <w:t>同學能夠在現有以西方思想為內涵的國際關係理論</w:t>
      </w:r>
      <w:proofErr w:type="gramStart"/>
      <w:r w:rsidR="00DE4366">
        <w:rPr>
          <w:rFonts w:hint="eastAsia"/>
          <w:b/>
          <w:sz w:val="27"/>
          <w:szCs w:val="27"/>
        </w:rPr>
        <w:t>以外，</w:t>
      </w:r>
      <w:proofErr w:type="gramEnd"/>
      <w:r w:rsidR="00DE4366">
        <w:rPr>
          <w:rFonts w:hint="eastAsia"/>
          <w:b/>
          <w:sz w:val="27"/>
          <w:szCs w:val="27"/>
        </w:rPr>
        <w:t>對中國傳統對外關係思想有深入的認識，以助其建立一套完整的國際關係思想體系。</w:t>
      </w:r>
    </w:p>
    <w:p w:rsidR="00030883" w:rsidRDefault="00030883" w:rsidP="008C2C7D">
      <w:pPr>
        <w:rPr>
          <w:rFonts w:hint="eastAsia"/>
          <w:bdr w:val="single" w:sz="4" w:space="0" w:color="auto"/>
        </w:rPr>
      </w:pPr>
    </w:p>
    <w:p w:rsidR="003E5EC1" w:rsidRDefault="003E5EC1" w:rsidP="008C2C7D">
      <w:pPr>
        <w:rPr>
          <w:rFonts w:hint="eastAsia"/>
          <w:bdr w:val="single" w:sz="4" w:space="0" w:color="auto"/>
        </w:rPr>
      </w:pPr>
    </w:p>
    <w:p w:rsidR="00030883" w:rsidRDefault="006D21EC" w:rsidP="008C2C7D">
      <w:pPr>
        <w:rPr>
          <w:rFonts w:hint="eastAsia"/>
          <w:b/>
          <w:sz w:val="27"/>
          <w:szCs w:val="27"/>
          <w:u w:val="single"/>
        </w:rPr>
      </w:pPr>
      <w:r>
        <w:rPr>
          <w:rFonts w:hint="eastAsia"/>
          <w:b/>
          <w:sz w:val="27"/>
          <w:szCs w:val="27"/>
          <w:u w:val="single"/>
        </w:rPr>
        <w:t>每週進度</w:t>
      </w:r>
      <w:r w:rsidRPr="00611493">
        <w:rPr>
          <w:rFonts w:hint="eastAsia"/>
          <w:b/>
          <w:sz w:val="27"/>
          <w:szCs w:val="27"/>
          <w:u w:val="single"/>
        </w:rPr>
        <w:t>：</w:t>
      </w:r>
    </w:p>
    <w:p w:rsidR="00DE4366" w:rsidRPr="00F90C1A" w:rsidRDefault="00DE4366" w:rsidP="00DE4366">
      <w:pPr>
        <w:numPr>
          <w:ilvl w:val="0"/>
          <w:numId w:val="5"/>
        </w:numPr>
        <w:rPr>
          <w:rFonts w:hint="eastAsia"/>
          <w:b/>
          <w:sz w:val="27"/>
          <w:szCs w:val="27"/>
        </w:rPr>
      </w:pPr>
      <w:r w:rsidRPr="00F90C1A">
        <w:rPr>
          <w:rFonts w:hint="eastAsia"/>
          <w:b/>
          <w:sz w:val="27"/>
          <w:szCs w:val="27"/>
        </w:rPr>
        <w:t>先秦對外思想的形</w:t>
      </w:r>
      <w:r w:rsidR="00F90C1A">
        <w:rPr>
          <w:rFonts w:hint="eastAsia"/>
          <w:b/>
          <w:sz w:val="27"/>
          <w:szCs w:val="27"/>
        </w:rPr>
        <w:t>成</w:t>
      </w:r>
    </w:p>
    <w:p w:rsidR="00DE4366" w:rsidRPr="00F90C1A" w:rsidRDefault="00DE4366" w:rsidP="00DE4366">
      <w:pPr>
        <w:numPr>
          <w:ilvl w:val="0"/>
          <w:numId w:val="5"/>
        </w:numPr>
        <w:rPr>
          <w:rFonts w:hint="eastAsia"/>
          <w:b/>
          <w:sz w:val="27"/>
          <w:szCs w:val="27"/>
        </w:rPr>
      </w:pPr>
      <w:r w:rsidRPr="00F90C1A">
        <w:rPr>
          <w:rFonts w:hint="eastAsia"/>
          <w:b/>
          <w:sz w:val="27"/>
          <w:szCs w:val="27"/>
        </w:rPr>
        <w:t>漢代對外思想的形成</w:t>
      </w:r>
    </w:p>
    <w:p w:rsidR="00DE4366" w:rsidRPr="00F90C1A" w:rsidRDefault="00DE4366" w:rsidP="00DE4366">
      <w:pPr>
        <w:numPr>
          <w:ilvl w:val="0"/>
          <w:numId w:val="5"/>
        </w:numPr>
        <w:rPr>
          <w:rFonts w:hint="eastAsia"/>
          <w:b/>
          <w:sz w:val="27"/>
          <w:szCs w:val="27"/>
        </w:rPr>
      </w:pPr>
      <w:r w:rsidRPr="00F90C1A">
        <w:rPr>
          <w:rFonts w:hint="eastAsia"/>
          <w:b/>
          <w:sz w:val="27"/>
          <w:szCs w:val="27"/>
        </w:rPr>
        <w:t>漢代以後之實踐與修正</w:t>
      </w:r>
    </w:p>
    <w:p w:rsidR="00DE4366" w:rsidRPr="00F90C1A" w:rsidRDefault="00DE4366" w:rsidP="00DE4366">
      <w:pPr>
        <w:numPr>
          <w:ilvl w:val="0"/>
          <w:numId w:val="5"/>
        </w:numPr>
        <w:rPr>
          <w:rFonts w:hint="eastAsia"/>
          <w:b/>
          <w:sz w:val="27"/>
          <w:szCs w:val="27"/>
        </w:rPr>
      </w:pPr>
      <w:r w:rsidRPr="00F90C1A">
        <w:rPr>
          <w:rFonts w:hint="eastAsia"/>
          <w:b/>
          <w:sz w:val="27"/>
          <w:szCs w:val="27"/>
        </w:rPr>
        <w:t>唐宋明清對外思想的實踐與挑戰</w:t>
      </w:r>
    </w:p>
    <w:p w:rsidR="008C2C7D" w:rsidRPr="008C2C7D" w:rsidRDefault="008C2C7D" w:rsidP="008C2C7D">
      <w:pPr>
        <w:rPr>
          <w:rFonts w:hint="eastAsia"/>
          <w:bdr w:val="single" w:sz="4" w:space="0" w:color="auto"/>
        </w:rPr>
      </w:pPr>
    </w:p>
    <w:p w:rsidR="00C572AC" w:rsidRPr="008C2C7D" w:rsidRDefault="00C572AC" w:rsidP="008C2C7D">
      <w:pPr>
        <w:rPr>
          <w:rFonts w:hint="eastAsia"/>
        </w:rPr>
      </w:pPr>
    </w:p>
    <w:p w:rsidR="00C376D8" w:rsidRPr="00611493" w:rsidRDefault="00C376D8" w:rsidP="001115F1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 w:rsidRPr="00611493">
        <w:rPr>
          <w:rFonts w:hint="eastAsia"/>
          <w:b/>
          <w:sz w:val="27"/>
          <w:szCs w:val="27"/>
          <w:u w:val="single"/>
        </w:rPr>
        <w:t>參考書目</w:t>
      </w:r>
      <w:r w:rsidR="001115F1" w:rsidRPr="00611493">
        <w:rPr>
          <w:rFonts w:hint="eastAsia"/>
          <w:b/>
          <w:sz w:val="27"/>
          <w:szCs w:val="27"/>
          <w:u w:val="single"/>
        </w:rPr>
        <w:t>：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許倬雲</w:t>
      </w:r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西周史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聯經出版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，1984年。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余英時</w:t>
      </w:r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中國知識階層史論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聯經出版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，1980年。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錢</w:t>
      </w:r>
      <w:proofErr w:type="gramStart"/>
      <w:r w:rsidRPr="0064281F">
        <w:rPr>
          <w:rFonts w:ascii="新細明體" w:hAnsi="新細明體" w:cs="新細明體"/>
          <w:color w:val="000000"/>
          <w:kern w:val="0"/>
        </w:rPr>
        <w:t>穆</w:t>
      </w:r>
      <w:proofErr w:type="gramEnd"/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國史大綱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商務出版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，2010年。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袁珂</w:t>
      </w:r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中國古代神話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里仁出版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，1987。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proofErr w:type="gramStart"/>
      <w:r w:rsidRPr="0064281F">
        <w:rPr>
          <w:rFonts w:ascii="新細明體" w:hAnsi="新細明體" w:cs="新細明體"/>
          <w:color w:val="000000"/>
          <w:kern w:val="0"/>
        </w:rPr>
        <w:t>周策縱</w:t>
      </w:r>
      <w:proofErr w:type="gramEnd"/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古巫醫與六詩考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聯經出版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，1986年。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杜正勝</w:t>
      </w:r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周代城邦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聯經出版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，1979年。</w:t>
      </w:r>
    </w:p>
    <w:p w:rsidR="00ED7915" w:rsidRPr="0064281F" w:rsidRDefault="00ED7915" w:rsidP="00C201E0">
      <w:pPr>
        <w:widowControl/>
        <w:numPr>
          <w:ilvl w:val="0"/>
          <w:numId w:val="4"/>
        </w:numPr>
        <w:rPr>
          <w:rFonts w:ascii="新細明體" w:hAnsi="新細明體" w:cs="新細明體"/>
          <w:color w:val="000000"/>
          <w:kern w:val="0"/>
        </w:rPr>
      </w:pPr>
      <w:r w:rsidRPr="0064281F">
        <w:rPr>
          <w:rFonts w:ascii="新細明體" w:hAnsi="新細明體" w:cs="新細明體"/>
          <w:color w:val="000000"/>
          <w:kern w:val="0"/>
        </w:rPr>
        <w:t>徐復觀</w:t>
      </w:r>
      <w:r w:rsidRPr="0064281F">
        <w:rPr>
          <w:rFonts w:ascii="新細明體" w:hAnsi="新細明體" w:cs="新細明體" w:hint="eastAsia"/>
          <w:color w:val="000000"/>
          <w:kern w:val="0"/>
        </w:rPr>
        <w:t>，《</w:t>
      </w:r>
      <w:r w:rsidRPr="0064281F">
        <w:rPr>
          <w:rFonts w:ascii="新細明體" w:hAnsi="新細明體" w:cs="新細明體"/>
          <w:color w:val="000000"/>
          <w:kern w:val="0"/>
        </w:rPr>
        <w:t>兩漢思想史</w:t>
      </w:r>
      <w:r w:rsidRPr="0064281F">
        <w:rPr>
          <w:rFonts w:ascii="新細明體" w:hAnsi="新細明體" w:cs="新細明體" w:hint="eastAsia"/>
          <w:color w:val="000000"/>
          <w:kern w:val="0"/>
        </w:rPr>
        <w:t>》，</w:t>
      </w:r>
      <w:r w:rsidRPr="0064281F">
        <w:rPr>
          <w:rFonts w:ascii="新細明體" w:hAnsi="新細明體" w:cs="新細明體"/>
          <w:color w:val="000000"/>
          <w:kern w:val="0"/>
        </w:rPr>
        <w:t>學生出版</w:t>
      </w:r>
      <w:r w:rsidR="00F154A1" w:rsidRPr="0064281F">
        <w:rPr>
          <w:rFonts w:ascii="新細明體" w:hAnsi="新細明體" w:cs="新細明體" w:hint="eastAsia"/>
          <w:color w:val="000000"/>
          <w:kern w:val="0"/>
        </w:rPr>
        <w:t>，2001年。</w:t>
      </w:r>
    </w:p>
    <w:p w:rsidR="00483D64" w:rsidRPr="0064281F" w:rsidRDefault="00ED7915" w:rsidP="00C201E0">
      <w:pPr>
        <w:numPr>
          <w:ilvl w:val="0"/>
          <w:numId w:val="4"/>
        </w:numPr>
        <w:spacing w:line="360" w:lineRule="exact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/>
          <w:color w:val="000000"/>
        </w:rPr>
        <w:t>許倬雲</w:t>
      </w:r>
      <w:r w:rsidR="00F154A1" w:rsidRPr="0064281F">
        <w:rPr>
          <w:rFonts w:ascii="新細明體" w:hAnsi="新細明體" w:hint="eastAsia"/>
          <w:color w:val="000000"/>
        </w:rPr>
        <w:t>，《我者與他者》，時報，2009年。</w:t>
      </w:r>
    </w:p>
    <w:p w:rsidR="00C201E0" w:rsidRPr="0064281F" w:rsidRDefault="00C201E0" w:rsidP="00C201E0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費正清，杜繼東譯，</w:t>
      </w:r>
      <w:proofErr w:type="gramStart"/>
      <w:r w:rsidRPr="0064281F">
        <w:rPr>
          <w:rFonts w:ascii="新細明體" w:hAnsi="新細明體" w:hint="eastAsia"/>
          <w:color w:val="000000"/>
        </w:rPr>
        <w:t>《</w:t>
      </w:r>
      <w:proofErr w:type="gramEnd"/>
      <w:r w:rsidRPr="0064281F">
        <w:rPr>
          <w:rFonts w:ascii="新細明體" w:hAnsi="新細明體" w:hint="eastAsia"/>
          <w:color w:val="000000"/>
        </w:rPr>
        <w:t>中國的世界秩序：傳統中國的對外</w:t>
      </w:r>
      <w:r w:rsidR="002407F7">
        <w:rPr>
          <w:rFonts w:ascii="新細明體" w:hAnsi="新細明體" w:hint="eastAsia"/>
          <w:color w:val="000000"/>
        </w:rPr>
        <w:t>關係</w:t>
      </w:r>
      <w:proofErr w:type="gramStart"/>
      <w:r w:rsidR="002407F7">
        <w:rPr>
          <w:rFonts w:ascii="新細明體" w:hAnsi="新細明體" w:hint="eastAsia"/>
          <w:color w:val="000000"/>
        </w:rPr>
        <w:t>》</w:t>
      </w:r>
      <w:proofErr w:type="gramEnd"/>
      <w:r w:rsidR="002407F7">
        <w:rPr>
          <w:rFonts w:ascii="新細明體" w:hAnsi="新細明體" w:hint="eastAsia"/>
          <w:color w:val="000000"/>
        </w:rPr>
        <w:t>，中國社會科學</w:t>
      </w:r>
      <w:r w:rsidRPr="0064281F">
        <w:rPr>
          <w:rFonts w:ascii="新細明體" w:hAnsi="新細明體" w:hint="eastAsia"/>
          <w:color w:val="000000"/>
        </w:rPr>
        <w:t>，2010年。</w:t>
      </w:r>
    </w:p>
    <w:p w:rsidR="00C201E0" w:rsidRPr="0064281F" w:rsidRDefault="00C201E0" w:rsidP="00C201E0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李雲泉，《朝貢制度史論(中國古代對外關係體制研究)》，新華出版，2004年。</w:t>
      </w:r>
    </w:p>
    <w:p w:rsidR="00C201E0" w:rsidRPr="0064281F" w:rsidRDefault="00F154A1" w:rsidP="00C201E0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（美）</w:t>
      </w:r>
      <w:r w:rsidR="00C201E0" w:rsidRPr="0064281F">
        <w:rPr>
          <w:rFonts w:ascii="新細明體" w:hAnsi="新細明體" w:hint="eastAsia"/>
          <w:color w:val="000000"/>
        </w:rPr>
        <w:t>馬士，張</w:t>
      </w:r>
      <w:proofErr w:type="gramStart"/>
      <w:r w:rsidR="00C201E0" w:rsidRPr="0064281F">
        <w:rPr>
          <w:rFonts w:ascii="新細明體" w:hAnsi="新細明體" w:hint="eastAsia"/>
          <w:color w:val="000000"/>
        </w:rPr>
        <w:t>匯文譯</w:t>
      </w:r>
      <w:proofErr w:type="gramEnd"/>
      <w:r w:rsidR="00C201E0" w:rsidRPr="0064281F">
        <w:rPr>
          <w:rFonts w:ascii="新細明體" w:hAnsi="新細明體" w:hint="eastAsia"/>
          <w:color w:val="000000"/>
        </w:rPr>
        <w:t>，《中華帝國對外關系史》，上海書店，2000年。</w:t>
      </w:r>
    </w:p>
    <w:p w:rsidR="00C201E0" w:rsidRPr="0064281F" w:rsidRDefault="00C201E0" w:rsidP="00C201E0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lastRenderedPageBreak/>
        <w:t>梁伯華，《近代中國外交的巨變》，台灣商務，1991年。</w:t>
      </w:r>
    </w:p>
    <w:p w:rsidR="00C201E0" w:rsidRPr="0064281F" w:rsidRDefault="00C201E0" w:rsidP="00C201E0">
      <w:pPr>
        <w:numPr>
          <w:ilvl w:val="0"/>
          <w:numId w:val="4"/>
        </w:numPr>
        <w:spacing w:line="360" w:lineRule="exact"/>
        <w:rPr>
          <w:rFonts w:ascii="新細明體" w:hAnsi="新細明體" w:cs="新細明體" w:hint="eastAsia"/>
          <w:color w:val="000000"/>
          <w:kern w:val="0"/>
        </w:rPr>
      </w:pPr>
      <w:r w:rsidRPr="0064281F">
        <w:rPr>
          <w:rFonts w:ascii="新細明體" w:hAnsi="新細明體" w:cs="新細明體" w:hint="eastAsia"/>
          <w:color w:val="000000"/>
          <w:kern w:val="0"/>
        </w:rPr>
        <w:t>陳尚勝，《儒家文明與中國傳統對外關係》，山東大學出版，2008年。</w:t>
      </w:r>
    </w:p>
    <w:p w:rsidR="00C201E0" w:rsidRPr="0064281F" w:rsidRDefault="00C201E0" w:rsidP="00C201E0">
      <w:pPr>
        <w:numPr>
          <w:ilvl w:val="0"/>
          <w:numId w:val="4"/>
        </w:numPr>
        <w:spacing w:line="360" w:lineRule="exact"/>
        <w:rPr>
          <w:rFonts w:ascii="新細明體" w:hAnsi="新細明體" w:cs="新細明體" w:hint="eastAsia"/>
          <w:color w:val="000000"/>
          <w:kern w:val="0"/>
        </w:rPr>
      </w:pPr>
      <w:r w:rsidRPr="0064281F">
        <w:rPr>
          <w:rFonts w:ascii="新細明體" w:hAnsi="新細明體" w:cs="新細明體" w:hint="eastAsia"/>
          <w:color w:val="000000"/>
          <w:kern w:val="0"/>
        </w:rPr>
        <w:t>陳尚勝，《</w:t>
      </w:r>
      <w:r w:rsidR="00403BA0" w:rsidRPr="0064281F">
        <w:rPr>
          <w:rFonts w:ascii="新細明體" w:hAnsi="新細明體" w:cs="新細明體" w:hint="eastAsia"/>
          <w:color w:val="000000"/>
          <w:kern w:val="0"/>
        </w:rPr>
        <w:t>中國傳統對外關係的思想、制度與政策</w:t>
      </w:r>
      <w:r w:rsidRPr="0064281F">
        <w:rPr>
          <w:rFonts w:ascii="新細明體" w:hAnsi="新細明體" w:cs="新細明體" w:hint="eastAsia"/>
          <w:color w:val="000000"/>
          <w:kern w:val="0"/>
        </w:rPr>
        <w:t>》，山東大學出版，</w:t>
      </w:r>
      <w:r w:rsidRPr="0064281F">
        <w:rPr>
          <w:rFonts w:ascii="新細明體" w:hAnsi="新細明體" w:cs="新細明體"/>
          <w:color w:val="000000"/>
          <w:kern w:val="0"/>
        </w:rPr>
        <w:t>2007</w:t>
      </w:r>
      <w:r w:rsidRPr="0064281F">
        <w:rPr>
          <w:rFonts w:ascii="新細明體" w:hAnsi="新細明體" w:cs="新細明體" w:hint="eastAsia"/>
          <w:color w:val="000000"/>
          <w:kern w:val="0"/>
        </w:rPr>
        <w:t>年。</w:t>
      </w:r>
    </w:p>
    <w:p w:rsidR="002F726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余英時，</w:t>
      </w:r>
      <w:proofErr w:type="gramStart"/>
      <w:r w:rsidRPr="0064281F">
        <w:rPr>
          <w:rFonts w:ascii="新細明體" w:hAnsi="新細明體" w:hint="eastAsia"/>
          <w:color w:val="000000"/>
        </w:rPr>
        <w:t>《</w:t>
      </w:r>
      <w:proofErr w:type="gramEnd"/>
      <w:r w:rsidRPr="0064281F">
        <w:rPr>
          <w:rFonts w:ascii="新細明體" w:hAnsi="新細明體" w:hint="eastAsia"/>
          <w:color w:val="000000"/>
        </w:rPr>
        <w:t>漢代貿易與擴張：漢胡經濟關係的研究</w:t>
      </w:r>
      <w:proofErr w:type="gramStart"/>
      <w:r w:rsidRPr="0064281F">
        <w:rPr>
          <w:rFonts w:ascii="新細明體" w:hAnsi="新細明體" w:hint="eastAsia"/>
          <w:color w:val="000000"/>
        </w:rPr>
        <w:t>》</w:t>
      </w:r>
      <w:proofErr w:type="gramEnd"/>
      <w:r w:rsidRPr="0064281F">
        <w:rPr>
          <w:rFonts w:ascii="新細明體" w:hAnsi="新細明體" w:hint="eastAsia"/>
          <w:color w:val="000000"/>
        </w:rPr>
        <w:t>，聯經出版，2008年。</w:t>
      </w:r>
    </w:p>
    <w:p w:rsidR="00B10CF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朱振宏，</w:t>
      </w:r>
      <w:proofErr w:type="gramStart"/>
      <w:r w:rsidRPr="0064281F">
        <w:rPr>
          <w:rFonts w:ascii="新細明體" w:hAnsi="新細明體" w:hint="eastAsia"/>
          <w:color w:val="000000"/>
        </w:rPr>
        <w:t>《</w:t>
      </w:r>
      <w:proofErr w:type="gramEnd"/>
      <w:r w:rsidRPr="0064281F">
        <w:rPr>
          <w:rFonts w:ascii="新細明體" w:hAnsi="新細明體" w:hint="eastAsia"/>
          <w:color w:val="000000"/>
        </w:rPr>
        <w:t>隋唐政治．制度與對外關係</w:t>
      </w:r>
      <w:proofErr w:type="gramStart"/>
      <w:r w:rsidRPr="0064281F">
        <w:rPr>
          <w:rFonts w:ascii="新細明體" w:hAnsi="新細明體" w:hint="eastAsia"/>
          <w:color w:val="000000"/>
        </w:rPr>
        <w:t>》</w:t>
      </w:r>
      <w:proofErr w:type="gramEnd"/>
      <w:r w:rsidRPr="0064281F">
        <w:rPr>
          <w:rFonts w:ascii="新細明體" w:hAnsi="新細明體" w:hint="eastAsia"/>
          <w:color w:val="000000"/>
        </w:rPr>
        <w:t>，文津，2010年。</w:t>
      </w:r>
    </w:p>
    <w:p w:rsidR="00B10CF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朱振宏，《大唐世界與「皇帝‧天可汗」之研究》，花木蘭文化，2009年。</w:t>
      </w:r>
    </w:p>
    <w:p w:rsidR="00B10CF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proofErr w:type="gramStart"/>
      <w:r w:rsidRPr="0064281F">
        <w:rPr>
          <w:rFonts w:ascii="新細明體" w:hAnsi="新細明體" w:hint="eastAsia"/>
          <w:color w:val="000000"/>
        </w:rPr>
        <w:t>韋祖松</w:t>
      </w:r>
      <w:proofErr w:type="gramEnd"/>
      <w:r w:rsidRPr="0064281F">
        <w:rPr>
          <w:rFonts w:ascii="新細明體" w:hAnsi="新細明體" w:hint="eastAsia"/>
          <w:color w:val="000000"/>
        </w:rPr>
        <w:t>，《帝國生存環境的詮釋—北宋國家安全問題研究》，中國社會科學出版，2008年。</w:t>
      </w:r>
    </w:p>
    <w:p w:rsidR="00B10CF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陶晉生，《宋遼關係史研究》，聯經出版，2008年。</w:t>
      </w:r>
    </w:p>
    <w:p w:rsidR="00C201E0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萬明，</w:t>
      </w:r>
      <w:proofErr w:type="gramStart"/>
      <w:r w:rsidRPr="0064281F">
        <w:rPr>
          <w:rFonts w:ascii="新細明體" w:hAnsi="新細明體" w:hint="eastAsia"/>
          <w:color w:val="000000"/>
        </w:rPr>
        <w:t>《</w:t>
      </w:r>
      <w:proofErr w:type="gramEnd"/>
      <w:r w:rsidRPr="0064281F">
        <w:rPr>
          <w:rFonts w:ascii="新細明體" w:hAnsi="新細明體" w:hint="eastAsia"/>
          <w:color w:val="000000"/>
        </w:rPr>
        <w:t>中國融入世界的步履：明與清前期海外政策比較研究</w:t>
      </w:r>
      <w:proofErr w:type="gramStart"/>
      <w:r w:rsidRPr="0064281F">
        <w:rPr>
          <w:rFonts w:ascii="新細明體" w:hAnsi="新細明體" w:hint="eastAsia"/>
          <w:color w:val="000000"/>
        </w:rPr>
        <w:t>》</w:t>
      </w:r>
      <w:proofErr w:type="gramEnd"/>
      <w:r w:rsidRPr="0064281F">
        <w:rPr>
          <w:rFonts w:ascii="新細明體" w:hAnsi="新細明體" w:hint="eastAsia"/>
          <w:color w:val="000000"/>
        </w:rPr>
        <w:t>，社會科學文獻，2000年。</w:t>
      </w:r>
    </w:p>
    <w:p w:rsidR="00C201E0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李慶新，《明代海外貿易制度》，社會科學文獻，2007年。</w:t>
      </w:r>
    </w:p>
    <w:p w:rsidR="00B10CF9" w:rsidRPr="0064281F" w:rsidRDefault="00B10CF9" w:rsidP="00C201E0">
      <w:pPr>
        <w:pStyle w:val="a8"/>
        <w:numPr>
          <w:ilvl w:val="0"/>
          <w:numId w:val="4"/>
        </w:numPr>
        <w:ind w:leftChars="0"/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王曾才，《清季外交史論》，</w:t>
      </w:r>
      <w:r w:rsidR="00F154A1" w:rsidRPr="0064281F">
        <w:rPr>
          <w:rFonts w:ascii="新細明體" w:hAnsi="新細明體" w:hint="eastAsia"/>
          <w:color w:val="000000"/>
        </w:rPr>
        <w:t>商務出版</w:t>
      </w:r>
      <w:r w:rsidRPr="0064281F">
        <w:rPr>
          <w:rFonts w:ascii="新細明體" w:hAnsi="新細明體" w:hint="eastAsia"/>
          <w:color w:val="000000"/>
        </w:rPr>
        <w:t>，1972。</w:t>
      </w:r>
    </w:p>
    <w:p w:rsidR="00030883" w:rsidRPr="0064281F" w:rsidRDefault="00B10CF9" w:rsidP="00C201E0">
      <w:pPr>
        <w:numPr>
          <w:ilvl w:val="0"/>
          <w:numId w:val="4"/>
        </w:numPr>
        <w:rPr>
          <w:rFonts w:ascii="新細明體" w:hAnsi="新細明體" w:hint="eastAsia"/>
          <w:color w:val="000000"/>
        </w:rPr>
      </w:pPr>
      <w:r w:rsidRPr="0064281F">
        <w:rPr>
          <w:rFonts w:ascii="新細明體" w:hAnsi="新細明體" w:hint="eastAsia"/>
          <w:color w:val="000000"/>
        </w:rPr>
        <w:t>廖敏淑，〈清代對外通商制度〉，</w:t>
      </w:r>
      <w:proofErr w:type="gramStart"/>
      <w:r w:rsidRPr="0064281F">
        <w:rPr>
          <w:rFonts w:ascii="新細明體" w:hAnsi="新細明體" w:hint="eastAsia"/>
          <w:color w:val="000000"/>
        </w:rPr>
        <w:t>《</w:t>
      </w:r>
      <w:proofErr w:type="gramEnd"/>
      <w:r w:rsidRPr="0064281F">
        <w:rPr>
          <w:rFonts w:ascii="新細明體" w:hAnsi="新細明體" w:hint="eastAsia"/>
          <w:color w:val="000000"/>
        </w:rPr>
        <w:t>近代中國：東亞與世界</w:t>
      </w:r>
      <w:proofErr w:type="gramStart"/>
      <w:r w:rsidRPr="0064281F">
        <w:rPr>
          <w:rFonts w:ascii="新細明體" w:hAnsi="新細明體" w:hint="eastAsia"/>
          <w:color w:val="000000"/>
        </w:rPr>
        <w:t>》</w:t>
      </w:r>
      <w:proofErr w:type="gramEnd"/>
      <w:r w:rsidRPr="0064281F">
        <w:rPr>
          <w:rFonts w:ascii="新細明體" w:hAnsi="新細明體" w:hint="eastAsia"/>
          <w:color w:val="000000"/>
        </w:rPr>
        <w:t>下卷，社會科學文獻，</w:t>
      </w:r>
      <w:r w:rsidRPr="0064281F">
        <w:rPr>
          <w:rFonts w:ascii="新細明體" w:hAnsi="新細明體"/>
          <w:color w:val="000000"/>
        </w:rPr>
        <w:t>2008</w:t>
      </w:r>
      <w:r w:rsidRPr="0064281F">
        <w:rPr>
          <w:rFonts w:ascii="新細明體" w:hAnsi="新細明體" w:hint="eastAsia"/>
          <w:color w:val="000000"/>
        </w:rPr>
        <w:t>年。</w:t>
      </w:r>
    </w:p>
    <w:p w:rsidR="00B10CF9" w:rsidRDefault="00B10CF9" w:rsidP="00B10CF9">
      <w:pPr>
        <w:rPr>
          <w:rFonts w:hint="eastAsia"/>
        </w:rPr>
      </w:pPr>
    </w:p>
    <w:p w:rsidR="00B10CF9" w:rsidRPr="00B10CF9" w:rsidRDefault="00B10CF9" w:rsidP="00B10CF9">
      <w:pPr>
        <w:rPr>
          <w:rFonts w:hint="eastAsia"/>
        </w:rPr>
      </w:pPr>
    </w:p>
    <w:p w:rsidR="00184E7E" w:rsidRPr="00611493" w:rsidRDefault="00184E7E" w:rsidP="00184E7E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 w:rsidRPr="00611493">
        <w:rPr>
          <w:rFonts w:hint="eastAsia"/>
          <w:b/>
          <w:sz w:val="27"/>
          <w:szCs w:val="27"/>
          <w:u w:val="single"/>
        </w:rPr>
        <w:t>評分方式：</w:t>
      </w:r>
    </w:p>
    <w:p w:rsidR="00184E7E" w:rsidRPr="00ED600E" w:rsidRDefault="00184E7E" w:rsidP="00184E7E">
      <w:pPr>
        <w:tabs>
          <w:tab w:val="left" w:pos="540"/>
        </w:tabs>
        <w:rPr>
          <w:rFonts w:hint="eastAsia"/>
          <w:b/>
        </w:rPr>
      </w:pPr>
      <w:r>
        <w:rPr>
          <w:rFonts w:hint="eastAsia"/>
          <w:b/>
        </w:rPr>
        <w:tab/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2060"/>
      </w:tblGrid>
      <w:tr w:rsidR="002E7636" w:rsidTr="003465A6">
        <w:tc>
          <w:tcPr>
            <w:tcW w:w="4888" w:type="dxa"/>
          </w:tcPr>
          <w:p w:rsidR="002E7636" w:rsidRDefault="00E96190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課堂發言表現</w:t>
            </w:r>
          </w:p>
        </w:tc>
        <w:tc>
          <w:tcPr>
            <w:tcW w:w="2060" w:type="dxa"/>
          </w:tcPr>
          <w:p w:rsidR="002E7636" w:rsidRDefault="00DE4366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E96190">
              <w:rPr>
                <w:rFonts w:hint="eastAsia"/>
              </w:rPr>
              <w:t>％</w:t>
            </w:r>
          </w:p>
        </w:tc>
      </w:tr>
      <w:tr w:rsidR="002E7636" w:rsidTr="003465A6">
        <w:tc>
          <w:tcPr>
            <w:tcW w:w="4888" w:type="dxa"/>
          </w:tcPr>
          <w:p w:rsidR="002E7636" w:rsidRDefault="00E96190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指定作業</w:t>
            </w:r>
          </w:p>
        </w:tc>
        <w:tc>
          <w:tcPr>
            <w:tcW w:w="2060" w:type="dxa"/>
          </w:tcPr>
          <w:p w:rsidR="002E7636" w:rsidRDefault="00DE4366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BA0C72">
              <w:rPr>
                <w:rFonts w:hint="eastAsia"/>
              </w:rPr>
              <w:t>％</w:t>
            </w:r>
          </w:p>
        </w:tc>
      </w:tr>
      <w:tr w:rsidR="002E7636" w:rsidTr="003465A6">
        <w:tc>
          <w:tcPr>
            <w:tcW w:w="4888" w:type="dxa"/>
          </w:tcPr>
          <w:p w:rsidR="002E7636" w:rsidRDefault="00E96190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期中</w:t>
            </w:r>
            <w:r w:rsidR="00DE4366">
              <w:rPr>
                <w:rFonts w:hint="eastAsia"/>
              </w:rPr>
              <w:t>、期末</w:t>
            </w:r>
            <w:r>
              <w:rPr>
                <w:rFonts w:hint="eastAsia"/>
              </w:rPr>
              <w:t>報告</w:t>
            </w:r>
          </w:p>
        </w:tc>
        <w:tc>
          <w:tcPr>
            <w:tcW w:w="2060" w:type="dxa"/>
          </w:tcPr>
          <w:p w:rsidR="002E7636" w:rsidRDefault="00DE4366" w:rsidP="003465A6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BA0C72">
              <w:rPr>
                <w:rFonts w:hint="eastAsia"/>
              </w:rPr>
              <w:t>0</w:t>
            </w:r>
            <w:r w:rsidR="00BA0C72">
              <w:rPr>
                <w:rFonts w:hint="eastAsia"/>
              </w:rPr>
              <w:t>％</w:t>
            </w:r>
          </w:p>
        </w:tc>
      </w:tr>
    </w:tbl>
    <w:p w:rsidR="00AE4C1C" w:rsidRDefault="00AE4C1C" w:rsidP="00C572AC">
      <w:pPr>
        <w:tabs>
          <w:tab w:val="left" w:pos="540"/>
        </w:tabs>
      </w:pPr>
    </w:p>
    <w:p w:rsidR="00702FC9" w:rsidRPr="00661AEA" w:rsidRDefault="00702FC9" w:rsidP="009510D2">
      <w:pPr>
        <w:jc w:val="both"/>
        <w:rPr>
          <w:rFonts w:eastAsia="標楷體"/>
        </w:rPr>
      </w:pPr>
      <w:r>
        <w:rPr>
          <w:rFonts w:ascii="Gulim" w:hAnsi="Gulim"/>
        </w:rPr>
        <w:br w:type="page"/>
      </w:r>
    </w:p>
    <w:p w:rsidR="00030883" w:rsidRPr="00702FC9" w:rsidRDefault="00030883" w:rsidP="00D43BE1">
      <w:pPr>
        <w:tabs>
          <w:tab w:val="left" w:pos="540"/>
        </w:tabs>
        <w:rPr>
          <w:rFonts w:ascii="Gulim" w:hAnsi="Gulim" w:hint="eastAsia"/>
        </w:rPr>
      </w:pPr>
    </w:p>
    <w:sectPr w:rsidR="00030883" w:rsidRPr="00702FC9" w:rsidSect="00876D23">
      <w:footerReference w:type="even" r:id="rId7"/>
      <w:footerReference w:type="default" r:id="rId8"/>
      <w:pgSz w:w="11906" w:h="16838"/>
      <w:pgMar w:top="899" w:right="1106" w:bottom="125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E8" w:rsidRDefault="003E4DE8">
      <w:r>
        <w:separator/>
      </w:r>
    </w:p>
  </w:endnote>
  <w:endnote w:type="continuationSeparator" w:id="0">
    <w:p w:rsidR="003E4DE8" w:rsidRDefault="003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542166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542166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0D2">
      <w:rPr>
        <w:rStyle w:val="a5"/>
        <w:noProof/>
      </w:rPr>
      <w:t>2</w: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E8" w:rsidRDefault="003E4DE8">
      <w:r>
        <w:separator/>
      </w:r>
    </w:p>
  </w:footnote>
  <w:footnote w:type="continuationSeparator" w:id="0">
    <w:p w:rsidR="003E4DE8" w:rsidRDefault="003E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EF734B"/>
    <w:multiLevelType w:val="hybridMultilevel"/>
    <w:tmpl w:val="989AB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8C16C4"/>
    <w:multiLevelType w:val="hybridMultilevel"/>
    <w:tmpl w:val="E4BC835A"/>
    <w:lvl w:ilvl="0" w:tplc="72F0D1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346282"/>
    <w:multiLevelType w:val="hybridMultilevel"/>
    <w:tmpl w:val="C5D4E248"/>
    <w:lvl w:ilvl="0" w:tplc="449C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B97D9B"/>
    <w:multiLevelType w:val="hybridMultilevel"/>
    <w:tmpl w:val="473A12A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005367"/>
    <w:multiLevelType w:val="hybridMultilevel"/>
    <w:tmpl w:val="848C53B4"/>
    <w:lvl w:ilvl="0" w:tplc="A120DA8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813CD"/>
    <w:multiLevelType w:val="hybridMultilevel"/>
    <w:tmpl w:val="5058D548"/>
    <w:lvl w:ilvl="0" w:tplc="A5924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B3"/>
    <w:rsid w:val="00030883"/>
    <w:rsid w:val="00042956"/>
    <w:rsid w:val="00045AF5"/>
    <w:rsid w:val="000543EB"/>
    <w:rsid w:val="00067D73"/>
    <w:rsid w:val="00081E29"/>
    <w:rsid w:val="00085001"/>
    <w:rsid w:val="00085502"/>
    <w:rsid w:val="000A54B3"/>
    <w:rsid w:val="000B7AF8"/>
    <w:rsid w:val="000C51D7"/>
    <w:rsid w:val="001115F1"/>
    <w:rsid w:val="001503C2"/>
    <w:rsid w:val="001612D8"/>
    <w:rsid w:val="00164A11"/>
    <w:rsid w:val="0017294C"/>
    <w:rsid w:val="0017635F"/>
    <w:rsid w:val="00184E7E"/>
    <w:rsid w:val="001B4A0C"/>
    <w:rsid w:val="001B6DE8"/>
    <w:rsid w:val="001C7047"/>
    <w:rsid w:val="001E0ABF"/>
    <w:rsid w:val="00201072"/>
    <w:rsid w:val="00237265"/>
    <w:rsid w:val="002372E4"/>
    <w:rsid w:val="002407F7"/>
    <w:rsid w:val="00240F5C"/>
    <w:rsid w:val="002A5EEA"/>
    <w:rsid w:val="002B0F0B"/>
    <w:rsid w:val="002E6AD4"/>
    <w:rsid w:val="002E7636"/>
    <w:rsid w:val="002F7269"/>
    <w:rsid w:val="003062FF"/>
    <w:rsid w:val="00313DA0"/>
    <w:rsid w:val="00325F1A"/>
    <w:rsid w:val="003465A6"/>
    <w:rsid w:val="00352C99"/>
    <w:rsid w:val="003570DA"/>
    <w:rsid w:val="00365E0C"/>
    <w:rsid w:val="003829CF"/>
    <w:rsid w:val="0038429A"/>
    <w:rsid w:val="003E4DE8"/>
    <w:rsid w:val="003E5EC1"/>
    <w:rsid w:val="0040077F"/>
    <w:rsid w:val="00403BA0"/>
    <w:rsid w:val="00417C86"/>
    <w:rsid w:val="0042202A"/>
    <w:rsid w:val="004450F1"/>
    <w:rsid w:val="004451A2"/>
    <w:rsid w:val="004555EA"/>
    <w:rsid w:val="00461446"/>
    <w:rsid w:val="00470113"/>
    <w:rsid w:val="004704BF"/>
    <w:rsid w:val="00470FF3"/>
    <w:rsid w:val="00483D64"/>
    <w:rsid w:val="004B09DA"/>
    <w:rsid w:val="004C5F50"/>
    <w:rsid w:val="004D2B1D"/>
    <w:rsid w:val="004D680C"/>
    <w:rsid w:val="005248F9"/>
    <w:rsid w:val="0052728E"/>
    <w:rsid w:val="00542166"/>
    <w:rsid w:val="0056071A"/>
    <w:rsid w:val="00586D02"/>
    <w:rsid w:val="0058799F"/>
    <w:rsid w:val="00593B09"/>
    <w:rsid w:val="005A115D"/>
    <w:rsid w:val="005A1C78"/>
    <w:rsid w:val="005C6DC8"/>
    <w:rsid w:val="005E5481"/>
    <w:rsid w:val="00611493"/>
    <w:rsid w:val="0064281F"/>
    <w:rsid w:val="0066186A"/>
    <w:rsid w:val="006A167B"/>
    <w:rsid w:val="006B2618"/>
    <w:rsid w:val="006D21EC"/>
    <w:rsid w:val="00701879"/>
    <w:rsid w:val="00702FC9"/>
    <w:rsid w:val="0075396A"/>
    <w:rsid w:val="00755099"/>
    <w:rsid w:val="00776BC4"/>
    <w:rsid w:val="0079712B"/>
    <w:rsid w:val="007C1080"/>
    <w:rsid w:val="007F17B7"/>
    <w:rsid w:val="00832EF6"/>
    <w:rsid w:val="00846E8F"/>
    <w:rsid w:val="00876D23"/>
    <w:rsid w:val="008C2C7D"/>
    <w:rsid w:val="0090688E"/>
    <w:rsid w:val="00910792"/>
    <w:rsid w:val="00921135"/>
    <w:rsid w:val="00935BFC"/>
    <w:rsid w:val="00940C56"/>
    <w:rsid w:val="009469EC"/>
    <w:rsid w:val="009510D2"/>
    <w:rsid w:val="00961597"/>
    <w:rsid w:val="0098460D"/>
    <w:rsid w:val="0098746E"/>
    <w:rsid w:val="009A645B"/>
    <w:rsid w:val="009B294C"/>
    <w:rsid w:val="009D38AE"/>
    <w:rsid w:val="009D395B"/>
    <w:rsid w:val="009E3008"/>
    <w:rsid w:val="009E66A9"/>
    <w:rsid w:val="00AE01FE"/>
    <w:rsid w:val="00AE4C1C"/>
    <w:rsid w:val="00AF28AC"/>
    <w:rsid w:val="00B10CF9"/>
    <w:rsid w:val="00B11F61"/>
    <w:rsid w:val="00B16E12"/>
    <w:rsid w:val="00B34DEE"/>
    <w:rsid w:val="00B77B78"/>
    <w:rsid w:val="00B87BED"/>
    <w:rsid w:val="00BA0C72"/>
    <w:rsid w:val="00BA733D"/>
    <w:rsid w:val="00BA7380"/>
    <w:rsid w:val="00BC0A59"/>
    <w:rsid w:val="00C0786D"/>
    <w:rsid w:val="00C201E0"/>
    <w:rsid w:val="00C31EB6"/>
    <w:rsid w:val="00C376D8"/>
    <w:rsid w:val="00C572AC"/>
    <w:rsid w:val="00C6299D"/>
    <w:rsid w:val="00CC10FD"/>
    <w:rsid w:val="00CD40EE"/>
    <w:rsid w:val="00CF0198"/>
    <w:rsid w:val="00D10B26"/>
    <w:rsid w:val="00D11693"/>
    <w:rsid w:val="00D16AFA"/>
    <w:rsid w:val="00D370A3"/>
    <w:rsid w:val="00D43BE1"/>
    <w:rsid w:val="00D60407"/>
    <w:rsid w:val="00D924A4"/>
    <w:rsid w:val="00DC693C"/>
    <w:rsid w:val="00DD3AC4"/>
    <w:rsid w:val="00DE0120"/>
    <w:rsid w:val="00DE4366"/>
    <w:rsid w:val="00E01DC0"/>
    <w:rsid w:val="00E12954"/>
    <w:rsid w:val="00E160E1"/>
    <w:rsid w:val="00E26FC7"/>
    <w:rsid w:val="00E50F22"/>
    <w:rsid w:val="00E83E1F"/>
    <w:rsid w:val="00E87029"/>
    <w:rsid w:val="00E9313B"/>
    <w:rsid w:val="00E96190"/>
    <w:rsid w:val="00EA0EB3"/>
    <w:rsid w:val="00EB2A20"/>
    <w:rsid w:val="00ED600E"/>
    <w:rsid w:val="00ED7915"/>
    <w:rsid w:val="00EF55CA"/>
    <w:rsid w:val="00F03193"/>
    <w:rsid w:val="00F154A1"/>
    <w:rsid w:val="00F20D9F"/>
    <w:rsid w:val="00F22C19"/>
    <w:rsid w:val="00F57B0D"/>
    <w:rsid w:val="00F66879"/>
    <w:rsid w:val="00F90C1A"/>
    <w:rsid w:val="00FA42C6"/>
    <w:rsid w:val="00FA574E"/>
    <w:rsid w:val="00FB556A"/>
    <w:rsid w:val="00FB5A4A"/>
    <w:rsid w:val="00FB6439"/>
    <w:rsid w:val="00F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5A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7635F"/>
  </w:style>
  <w:style w:type="paragraph" w:styleId="a6">
    <w:name w:val="header"/>
    <w:basedOn w:val="a"/>
    <w:link w:val="a7"/>
    <w:rsid w:val="00C31EB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C31EB6"/>
    <w:rPr>
      <w:kern w:val="2"/>
    </w:rPr>
  </w:style>
  <w:style w:type="paragraph" w:styleId="a8">
    <w:name w:val="List Paragraph"/>
    <w:basedOn w:val="a"/>
    <w:uiPriority w:val="34"/>
    <w:qFormat/>
    <w:rsid w:val="00B10CF9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702F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702FC9"/>
  </w:style>
  <w:style w:type="character" w:styleId="a9">
    <w:name w:val="Hyperlink"/>
    <w:rsid w:val="00702FC9"/>
    <w:rPr>
      <w:color w:val="0000FF"/>
      <w:u w:val="single"/>
    </w:rPr>
  </w:style>
  <w:style w:type="character" w:customStyle="1" w:styleId="cit-vol">
    <w:name w:val="cit-vol"/>
    <w:rsid w:val="00702FC9"/>
  </w:style>
  <w:style w:type="character" w:customStyle="1" w:styleId="cit-sep2">
    <w:name w:val="cit-sep2"/>
    <w:rsid w:val="00702FC9"/>
  </w:style>
  <w:style w:type="character" w:customStyle="1" w:styleId="cit-first-page">
    <w:name w:val="cit-first-page"/>
    <w:rsid w:val="00702FC9"/>
  </w:style>
  <w:style w:type="character" w:customStyle="1" w:styleId="cit-last-page2">
    <w:name w:val="cit-last-page2"/>
    <w:rsid w:val="00702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>ntu</Company>
  <LinksUpToDate>false</LinksUpToDate>
  <CharactersWithSpaces>1169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http://www.ios.sinica.edu.tw/ios/?msgNo=20080131-1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http://www.lawdata.com.tw/anglekmc/lawkm?@18%5e636594883%5e30%5e%5e%5e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4</cp:revision>
  <dcterms:created xsi:type="dcterms:W3CDTF">2012-02-01T08:58:00Z</dcterms:created>
  <dcterms:modified xsi:type="dcterms:W3CDTF">2012-02-01T08:59:00Z</dcterms:modified>
</cp:coreProperties>
</file>