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3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80"/>
        <w:gridCol w:w="859"/>
        <w:gridCol w:w="891"/>
        <w:gridCol w:w="770"/>
        <w:gridCol w:w="717"/>
        <w:gridCol w:w="183"/>
        <w:gridCol w:w="1260"/>
        <w:gridCol w:w="165"/>
        <w:gridCol w:w="3795"/>
      </w:tblGrid>
      <w:tr w:rsidR="00A211EB" w:rsidTr="00647A71">
        <w:trPr>
          <w:trHeight w:val="730"/>
        </w:trPr>
        <w:tc>
          <w:tcPr>
            <w:tcW w:w="10008" w:type="dxa"/>
            <w:gridSpan w:val="10"/>
            <w:tcBorders>
              <w:top w:val="nil"/>
              <w:left w:val="nil"/>
              <w:right w:val="nil"/>
            </w:tcBorders>
          </w:tcPr>
          <w:p w:rsidR="00A211EB" w:rsidRPr="00E9778E" w:rsidRDefault="00A211EB" w:rsidP="00E9778E">
            <w:pPr>
              <w:spacing w:afterLines="50"/>
              <w:jc w:val="center"/>
              <w:rPr>
                <w:b/>
                <w:bCs/>
                <w:sz w:val="26"/>
                <w:szCs w:val="26"/>
              </w:rPr>
            </w:pPr>
            <w:r w:rsidRPr="00E9778E">
              <w:rPr>
                <w:rFonts w:cs="新細明體" w:hint="eastAsia"/>
                <w:b/>
                <w:bCs/>
                <w:sz w:val="32"/>
                <w:szCs w:val="32"/>
              </w:rPr>
              <w:t>國立臺灣大學國家發展研究所</w:t>
            </w:r>
            <w:r w:rsidRPr="00E9778E">
              <w:rPr>
                <w:b/>
                <w:bCs/>
                <w:sz w:val="32"/>
                <w:szCs w:val="32"/>
              </w:rPr>
              <w:t>101</w:t>
            </w:r>
            <w:r w:rsidRPr="00E9778E">
              <w:rPr>
                <w:rFonts w:cs="新細明體" w:hint="eastAsia"/>
                <w:b/>
                <w:bCs/>
                <w:sz w:val="32"/>
                <w:szCs w:val="32"/>
              </w:rPr>
              <w:t>學年度第</w:t>
            </w:r>
            <w:r w:rsidRPr="00E9778E">
              <w:rPr>
                <w:b/>
                <w:bCs/>
                <w:sz w:val="32"/>
                <w:szCs w:val="32"/>
              </w:rPr>
              <w:t>1</w:t>
            </w:r>
            <w:r w:rsidRPr="00E9778E">
              <w:rPr>
                <w:rFonts w:cs="新細明體" w:hint="eastAsia"/>
                <w:b/>
                <w:bCs/>
                <w:sz w:val="32"/>
                <w:szCs w:val="32"/>
              </w:rPr>
              <w:t>學期課程綱要</w:t>
            </w:r>
          </w:p>
        </w:tc>
      </w:tr>
      <w:tr w:rsidR="00A211EB" w:rsidTr="00647A71">
        <w:tc>
          <w:tcPr>
            <w:tcW w:w="10008" w:type="dxa"/>
            <w:gridSpan w:val="10"/>
            <w:shd w:val="clear" w:color="auto" w:fill="D9D9D9"/>
          </w:tcPr>
          <w:p w:rsidR="00A211EB" w:rsidRPr="00E9778E" w:rsidRDefault="00A211EB" w:rsidP="00E9778E">
            <w:pPr>
              <w:jc w:val="center"/>
              <w:rPr>
                <w:b/>
                <w:bCs/>
                <w:sz w:val="26"/>
                <w:szCs w:val="26"/>
              </w:rPr>
            </w:pPr>
            <w:r w:rsidRPr="00E9778E">
              <w:rPr>
                <w:rFonts w:cs="新細明體" w:hint="eastAsia"/>
                <w:b/>
                <w:bCs/>
                <w:sz w:val="26"/>
                <w:szCs w:val="26"/>
              </w:rPr>
              <w:t>課程資訊</w:t>
            </w:r>
          </w:p>
        </w:tc>
      </w:tr>
      <w:tr w:rsidR="00A211EB" w:rsidTr="00647A71">
        <w:trPr>
          <w:trHeight w:val="708"/>
        </w:trPr>
        <w:tc>
          <w:tcPr>
            <w:tcW w:w="1368" w:type="dxa"/>
            <w:gridSpan w:val="2"/>
          </w:tcPr>
          <w:p w:rsidR="00A211EB" w:rsidRPr="00E9778E" w:rsidRDefault="00A211EB" w:rsidP="00E9778E">
            <w:pPr>
              <w:rPr>
                <w:sz w:val="26"/>
                <w:szCs w:val="26"/>
              </w:rPr>
            </w:pPr>
            <w:r w:rsidRPr="00E9778E">
              <w:rPr>
                <w:rFonts w:cs="新細明體" w:hint="eastAsia"/>
                <w:sz w:val="26"/>
                <w:szCs w:val="26"/>
              </w:rPr>
              <w:t>課程名稱</w:t>
            </w:r>
          </w:p>
        </w:tc>
        <w:tc>
          <w:tcPr>
            <w:tcW w:w="8640" w:type="dxa"/>
            <w:gridSpan w:val="8"/>
          </w:tcPr>
          <w:p w:rsidR="00A211EB" w:rsidRPr="00E9778E" w:rsidRDefault="00A211EB" w:rsidP="00E9778E">
            <w:pPr>
              <w:widowControl/>
              <w:autoSpaceDE w:val="0"/>
              <w:autoSpaceDN w:val="0"/>
              <w:spacing w:line="480" w:lineRule="exact"/>
              <w:jc w:val="both"/>
              <w:textAlignment w:val="bottom"/>
              <w:rPr>
                <w:rFonts w:ascii="新細明體"/>
                <w:sz w:val="28"/>
                <w:szCs w:val="28"/>
              </w:rPr>
            </w:pPr>
            <w:r w:rsidRPr="00E9778E">
              <w:rPr>
                <w:rFonts w:ascii="新細明體" w:hAnsi="新細明體" w:cs="新細明體"/>
                <w:sz w:val="28"/>
                <w:szCs w:val="28"/>
              </w:rPr>
              <w:t>(</w:t>
            </w:r>
            <w:r w:rsidRPr="00E9778E">
              <w:rPr>
                <w:rFonts w:ascii="新細明體" w:hAnsi="新細明體" w:cs="新細明體" w:hint="eastAsia"/>
                <w:sz w:val="28"/>
                <w:szCs w:val="28"/>
              </w:rPr>
              <w:t>中</w:t>
            </w:r>
            <w:r w:rsidRPr="00E9778E">
              <w:rPr>
                <w:rFonts w:ascii="新細明體" w:hAnsi="新細明體" w:cs="新細明體"/>
                <w:sz w:val="28"/>
                <w:szCs w:val="28"/>
              </w:rPr>
              <w:t xml:space="preserve">) </w:t>
            </w:r>
            <w:r w:rsidRPr="00E9778E">
              <w:rPr>
                <w:rFonts w:ascii="新細明體" w:hAnsi="新細明體" w:cs="新細明體" w:hint="eastAsia"/>
                <w:sz w:val="28"/>
                <w:szCs w:val="28"/>
              </w:rPr>
              <w:t>臺灣憲法變遷與政治發展專題</w:t>
            </w:r>
          </w:p>
          <w:p w:rsidR="00A211EB" w:rsidRPr="00647A71" w:rsidRDefault="00A211EB" w:rsidP="00647A71">
            <w:pPr>
              <w:pStyle w:val="yiv847995770msonormal"/>
              <w:spacing w:before="0" w:beforeAutospacing="0" w:after="0" w:afterAutospacing="0"/>
              <w:rPr>
                <w:rFonts w:cs="Times New Roman"/>
              </w:rPr>
            </w:pPr>
            <w:r w:rsidRPr="00E9778E">
              <w:t>(</w:t>
            </w:r>
            <w:r w:rsidRPr="00E9778E">
              <w:rPr>
                <w:rFonts w:hint="eastAsia"/>
              </w:rPr>
              <w:t>英</w:t>
            </w:r>
            <w:r w:rsidRPr="00E9778E">
              <w:t>)</w:t>
            </w:r>
            <w:r w:rsidRPr="00E9778E">
              <w:rPr>
                <w:sz w:val="26"/>
                <w:szCs w:val="26"/>
              </w:rPr>
              <w:t xml:space="preserve"> </w:t>
            </w:r>
            <w:r>
              <w:t>Seminar on Constitutional Change and Political Development in Taiwan</w:t>
            </w:r>
          </w:p>
        </w:tc>
      </w:tr>
      <w:tr w:rsidR="00A211EB" w:rsidTr="00647A71">
        <w:tc>
          <w:tcPr>
            <w:tcW w:w="1368" w:type="dxa"/>
            <w:gridSpan w:val="2"/>
          </w:tcPr>
          <w:p w:rsidR="00A211EB" w:rsidRPr="007C6CD3" w:rsidRDefault="00A211EB" w:rsidP="00E9778E">
            <w:pPr>
              <w:rPr>
                <w:sz w:val="22"/>
                <w:szCs w:val="22"/>
              </w:rPr>
            </w:pPr>
            <w:r w:rsidRPr="007C6CD3">
              <w:rPr>
                <w:rFonts w:cs="新細明體" w:hint="eastAsia"/>
                <w:sz w:val="22"/>
                <w:szCs w:val="22"/>
              </w:rPr>
              <w:t>課程識別碼</w:t>
            </w:r>
          </w:p>
        </w:tc>
        <w:tc>
          <w:tcPr>
            <w:tcW w:w="1750" w:type="dxa"/>
            <w:gridSpan w:val="2"/>
          </w:tcPr>
          <w:p w:rsidR="00A211EB" w:rsidRDefault="00A211EB" w:rsidP="00E9778E">
            <w:pPr>
              <w:spacing w:line="300" w:lineRule="exact"/>
            </w:pPr>
            <w:r>
              <w:t>341 U9060</w:t>
            </w:r>
          </w:p>
        </w:tc>
        <w:tc>
          <w:tcPr>
            <w:tcW w:w="770" w:type="dxa"/>
          </w:tcPr>
          <w:p w:rsidR="00A211EB" w:rsidRPr="00E9778E" w:rsidRDefault="00A211EB" w:rsidP="00E9778E">
            <w:pPr>
              <w:rPr>
                <w:sz w:val="20"/>
                <w:szCs w:val="20"/>
              </w:rPr>
            </w:pPr>
            <w:r>
              <w:rPr>
                <w:rFonts w:cs="新細明體" w:hint="eastAsia"/>
                <w:sz w:val="20"/>
                <w:szCs w:val="20"/>
              </w:rPr>
              <w:t>班次</w:t>
            </w:r>
          </w:p>
        </w:tc>
        <w:tc>
          <w:tcPr>
            <w:tcW w:w="900" w:type="dxa"/>
            <w:gridSpan w:val="2"/>
          </w:tcPr>
          <w:p w:rsidR="00A211EB" w:rsidRDefault="00A211EB" w:rsidP="00E9778E"/>
        </w:tc>
        <w:tc>
          <w:tcPr>
            <w:tcW w:w="1425" w:type="dxa"/>
            <w:gridSpan w:val="2"/>
          </w:tcPr>
          <w:p w:rsidR="00A211EB" w:rsidRPr="00E9778E" w:rsidRDefault="00A211EB" w:rsidP="00E9778E">
            <w:pPr>
              <w:rPr>
                <w:sz w:val="26"/>
                <w:szCs w:val="26"/>
              </w:rPr>
            </w:pPr>
            <w:r w:rsidRPr="00E9778E">
              <w:rPr>
                <w:rFonts w:cs="新細明體" w:hint="eastAsia"/>
                <w:sz w:val="26"/>
                <w:szCs w:val="26"/>
              </w:rPr>
              <w:t>學分數</w:t>
            </w:r>
          </w:p>
        </w:tc>
        <w:tc>
          <w:tcPr>
            <w:tcW w:w="3795" w:type="dxa"/>
          </w:tcPr>
          <w:p w:rsidR="00A211EB" w:rsidRDefault="00A211EB" w:rsidP="00E9778E">
            <w:r>
              <w:t>2</w:t>
            </w:r>
          </w:p>
        </w:tc>
      </w:tr>
      <w:tr w:rsidR="00A211EB" w:rsidTr="00647A71">
        <w:tc>
          <w:tcPr>
            <w:tcW w:w="1368" w:type="dxa"/>
            <w:gridSpan w:val="2"/>
          </w:tcPr>
          <w:p w:rsidR="00A211EB" w:rsidRPr="00E9778E" w:rsidRDefault="00A211EB" w:rsidP="00E9778E">
            <w:pPr>
              <w:rPr>
                <w:sz w:val="26"/>
                <w:szCs w:val="26"/>
              </w:rPr>
            </w:pPr>
            <w:r w:rsidRPr="00E9778E">
              <w:rPr>
                <w:rFonts w:cs="新細明體" w:hint="eastAsia"/>
                <w:sz w:val="26"/>
                <w:szCs w:val="26"/>
              </w:rPr>
              <w:t>全</w:t>
            </w:r>
            <w:r w:rsidRPr="00E9778E">
              <w:rPr>
                <w:sz w:val="26"/>
                <w:szCs w:val="26"/>
              </w:rPr>
              <w:t>/</w:t>
            </w:r>
            <w:r w:rsidRPr="00E9778E">
              <w:rPr>
                <w:rFonts w:cs="新細明體" w:hint="eastAsia"/>
                <w:sz w:val="26"/>
                <w:szCs w:val="26"/>
              </w:rPr>
              <w:t>半年</w:t>
            </w:r>
          </w:p>
        </w:tc>
        <w:tc>
          <w:tcPr>
            <w:tcW w:w="3420" w:type="dxa"/>
            <w:gridSpan w:val="5"/>
          </w:tcPr>
          <w:p w:rsidR="00A211EB" w:rsidRDefault="00A211EB" w:rsidP="00E9778E">
            <w:r>
              <w:rPr>
                <w:rFonts w:cs="新細明體" w:hint="eastAsia"/>
              </w:rPr>
              <w:t>半年</w:t>
            </w:r>
          </w:p>
        </w:tc>
        <w:tc>
          <w:tcPr>
            <w:tcW w:w="1425" w:type="dxa"/>
            <w:gridSpan w:val="2"/>
          </w:tcPr>
          <w:p w:rsidR="00A211EB" w:rsidRPr="00E9778E" w:rsidRDefault="00A211EB" w:rsidP="00E9778E">
            <w:pPr>
              <w:rPr>
                <w:sz w:val="26"/>
                <w:szCs w:val="26"/>
              </w:rPr>
            </w:pPr>
            <w:r w:rsidRPr="00E9778E">
              <w:rPr>
                <w:rFonts w:cs="新細明體" w:hint="eastAsia"/>
                <w:sz w:val="26"/>
                <w:szCs w:val="26"/>
              </w:rPr>
              <w:t>必</w:t>
            </w:r>
            <w:r w:rsidRPr="00E9778E">
              <w:rPr>
                <w:sz w:val="26"/>
                <w:szCs w:val="26"/>
              </w:rPr>
              <w:t>/</w:t>
            </w:r>
            <w:r w:rsidRPr="00E9778E">
              <w:rPr>
                <w:rFonts w:cs="新細明體" w:hint="eastAsia"/>
                <w:sz w:val="26"/>
                <w:szCs w:val="26"/>
              </w:rPr>
              <w:t>選修</w:t>
            </w:r>
          </w:p>
        </w:tc>
        <w:tc>
          <w:tcPr>
            <w:tcW w:w="3795" w:type="dxa"/>
          </w:tcPr>
          <w:p w:rsidR="00A211EB" w:rsidRDefault="00A211EB" w:rsidP="00E9778E">
            <w:r>
              <w:rPr>
                <w:rFonts w:cs="新細明體" w:hint="eastAsia"/>
              </w:rPr>
              <w:t>必修</w:t>
            </w:r>
          </w:p>
        </w:tc>
      </w:tr>
      <w:tr w:rsidR="00A211EB" w:rsidTr="00647A71">
        <w:tc>
          <w:tcPr>
            <w:tcW w:w="1368" w:type="dxa"/>
            <w:gridSpan w:val="2"/>
          </w:tcPr>
          <w:p w:rsidR="00A211EB" w:rsidRPr="00E9778E" w:rsidRDefault="00A211EB" w:rsidP="00E9778E">
            <w:pPr>
              <w:rPr>
                <w:sz w:val="26"/>
                <w:szCs w:val="26"/>
              </w:rPr>
            </w:pPr>
            <w:r w:rsidRPr="00E9778E">
              <w:rPr>
                <w:rFonts w:cs="新細明體" w:hint="eastAsia"/>
                <w:sz w:val="26"/>
                <w:szCs w:val="26"/>
              </w:rPr>
              <w:t>授課教師</w:t>
            </w:r>
          </w:p>
        </w:tc>
        <w:tc>
          <w:tcPr>
            <w:tcW w:w="3420" w:type="dxa"/>
            <w:gridSpan w:val="5"/>
          </w:tcPr>
          <w:p w:rsidR="00A211EB" w:rsidRDefault="00A211EB" w:rsidP="00E9778E">
            <w:r>
              <w:rPr>
                <w:rFonts w:cs="新細明體" w:hint="eastAsia"/>
              </w:rPr>
              <w:t>邱榮舉、曾建元</w:t>
            </w:r>
          </w:p>
        </w:tc>
        <w:tc>
          <w:tcPr>
            <w:tcW w:w="1425" w:type="dxa"/>
            <w:gridSpan w:val="2"/>
          </w:tcPr>
          <w:p w:rsidR="00A211EB" w:rsidRPr="00E9778E" w:rsidRDefault="00A211EB" w:rsidP="00E9778E">
            <w:pPr>
              <w:rPr>
                <w:sz w:val="26"/>
                <w:szCs w:val="26"/>
              </w:rPr>
            </w:pPr>
            <w:r w:rsidRPr="00E9778E">
              <w:rPr>
                <w:rFonts w:cs="新細明體" w:hint="eastAsia"/>
                <w:sz w:val="26"/>
                <w:szCs w:val="26"/>
              </w:rPr>
              <w:t>修課人數</w:t>
            </w:r>
          </w:p>
        </w:tc>
        <w:tc>
          <w:tcPr>
            <w:tcW w:w="3795" w:type="dxa"/>
          </w:tcPr>
          <w:p w:rsidR="00A211EB" w:rsidRDefault="00A211EB" w:rsidP="00E9778E">
            <w:r>
              <w:t>25</w:t>
            </w:r>
          </w:p>
        </w:tc>
      </w:tr>
      <w:tr w:rsidR="00A211EB" w:rsidTr="00647A71">
        <w:tc>
          <w:tcPr>
            <w:tcW w:w="1368" w:type="dxa"/>
            <w:gridSpan w:val="2"/>
          </w:tcPr>
          <w:p w:rsidR="00A211EB" w:rsidRPr="00E9778E" w:rsidRDefault="00A211EB" w:rsidP="00E9778E">
            <w:pPr>
              <w:rPr>
                <w:sz w:val="26"/>
                <w:szCs w:val="26"/>
              </w:rPr>
            </w:pPr>
            <w:r w:rsidRPr="00E9778E">
              <w:rPr>
                <w:rFonts w:cs="新細明體" w:hint="eastAsia"/>
                <w:sz w:val="26"/>
                <w:szCs w:val="26"/>
              </w:rPr>
              <w:t>上課時間</w:t>
            </w:r>
          </w:p>
        </w:tc>
        <w:tc>
          <w:tcPr>
            <w:tcW w:w="3420" w:type="dxa"/>
            <w:gridSpan w:val="5"/>
          </w:tcPr>
          <w:p w:rsidR="00A211EB" w:rsidRDefault="00A211EB" w:rsidP="00E9778E">
            <w:r>
              <w:rPr>
                <w:rFonts w:cs="新細明體" w:hint="eastAsia"/>
              </w:rPr>
              <w:t>一、</w:t>
            </w:r>
            <w:r>
              <w:t>78</w:t>
            </w:r>
          </w:p>
        </w:tc>
        <w:tc>
          <w:tcPr>
            <w:tcW w:w="1425" w:type="dxa"/>
            <w:gridSpan w:val="2"/>
          </w:tcPr>
          <w:p w:rsidR="00A211EB" w:rsidRPr="00E9778E" w:rsidRDefault="00A211EB" w:rsidP="00E9778E">
            <w:pPr>
              <w:rPr>
                <w:sz w:val="20"/>
                <w:szCs w:val="20"/>
              </w:rPr>
            </w:pPr>
            <w:r w:rsidRPr="00E9778E">
              <w:rPr>
                <w:rFonts w:cs="新細明體" w:hint="eastAsia"/>
                <w:sz w:val="20"/>
                <w:szCs w:val="20"/>
              </w:rPr>
              <w:t>課程加選方式</w:t>
            </w:r>
          </w:p>
        </w:tc>
        <w:tc>
          <w:tcPr>
            <w:tcW w:w="3795" w:type="dxa"/>
          </w:tcPr>
          <w:p w:rsidR="00A211EB" w:rsidRDefault="00A211EB" w:rsidP="00E9778E">
            <w:r>
              <w:t>1</w:t>
            </w:r>
          </w:p>
        </w:tc>
      </w:tr>
      <w:tr w:rsidR="00A211EB" w:rsidTr="00647A71">
        <w:tc>
          <w:tcPr>
            <w:tcW w:w="1368" w:type="dxa"/>
            <w:gridSpan w:val="2"/>
          </w:tcPr>
          <w:p w:rsidR="00A211EB" w:rsidRPr="00E9778E" w:rsidRDefault="00A211EB" w:rsidP="00E9778E">
            <w:pPr>
              <w:rPr>
                <w:sz w:val="26"/>
                <w:szCs w:val="26"/>
              </w:rPr>
            </w:pPr>
            <w:r w:rsidRPr="00E9778E">
              <w:rPr>
                <w:rFonts w:cs="新細明體" w:hint="eastAsia"/>
                <w:sz w:val="26"/>
                <w:szCs w:val="26"/>
              </w:rPr>
              <w:t>上課地點</w:t>
            </w:r>
          </w:p>
        </w:tc>
        <w:tc>
          <w:tcPr>
            <w:tcW w:w="3420" w:type="dxa"/>
            <w:gridSpan w:val="5"/>
          </w:tcPr>
          <w:p w:rsidR="00A211EB" w:rsidRDefault="00A211EB" w:rsidP="00E9778E">
            <w:r>
              <w:rPr>
                <w:rFonts w:cs="新細明體" w:hint="eastAsia"/>
              </w:rPr>
              <w:t>國發</w:t>
            </w:r>
            <w:r>
              <w:t>206</w:t>
            </w:r>
          </w:p>
        </w:tc>
        <w:tc>
          <w:tcPr>
            <w:tcW w:w="1425" w:type="dxa"/>
            <w:gridSpan w:val="2"/>
          </w:tcPr>
          <w:p w:rsidR="00A211EB" w:rsidRPr="00E9778E" w:rsidRDefault="00A211EB" w:rsidP="00E9778E">
            <w:pPr>
              <w:rPr>
                <w:sz w:val="16"/>
                <w:szCs w:val="16"/>
              </w:rPr>
            </w:pPr>
            <w:r w:rsidRPr="00E9778E">
              <w:rPr>
                <w:rFonts w:cs="新細明體" w:hint="eastAsia"/>
                <w:sz w:val="16"/>
                <w:szCs w:val="16"/>
              </w:rPr>
              <w:t>博士班核心能力</w:t>
            </w:r>
          </w:p>
        </w:tc>
        <w:tc>
          <w:tcPr>
            <w:tcW w:w="3795" w:type="dxa"/>
          </w:tcPr>
          <w:p w:rsidR="00A211EB" w:rsidRDefault="00A211EB" w:rsidP="00E9778E">
            <w:r>
              <w:t>A D</w:t>
            </w:r>
          </w:p>
        </w:tc>
      </w:tr>
      <w:tr w:rsidR="00A211EB" w:rsidTr="00647A71">
        <w:tc>
          <w:tcPr>
            <w:tcW w:w="1368" w:type="dxa"/>
            <w:gridSpan w:val="2"/>
          </w:tcPr>
          <w:p w:rsidR="00A211EB" w:rsidRPr="00E9778E" w:rsidRDefault="00A211EB" w:rsidP="00E9778E">
            <w:pPr>
              <w:rPr>
                <w:sz w:val="26"/>
                <w:szCs w:val="26"/>
              </w:rPr>
            </w:pPr>
            <w:r w:rsidRPr="00E9778E">
              <w:rPr>
                <w:rFonts w:cs="新細明體" w:hint="eastAsia"/>
                <w:sz w:val="26"/>
                <w:szCs w:val="26"/>
              </w:rPr>
              <w:t>課程網頁</w:t>
            </w:r>
          </w:p>
        </w:tc>
        <w:tc>
          <w:tcPr>
            <w:tcW w:w="3420" w:type="dxa"/>
            <w:gridSpan w:val="5"/>
          </w:tcPr>
          <w:p w:rsidR="00A211EB" w:rsidRDefault="00A211EB" w:rsidP="00E9778E"/>
        </w:tc>
        <w:tc>
          <w:tcPr>
            <w:tcW w:w="1425" w:type="dxa"/>
            <w:gridSpan w:val="2"/>
          </w:tcPr>
          <w:p w:rsidR="00A211EB" w:rsidRPr="00E9778E" w:rsidRDefault="00A211EB" w:rsidP="00E9778E">
            <w:pPr>
              <w:rPr>
                <w:sz w:val="16"/>
                <w:szCs w:val="16"/>
              </w:rPr>
            </w:pPr>
            <w:r w:rsidRPr="00E9778E">
              <w:rPr>
                <w:rFonts w:cs="新細明體" w:hint="eastAsia"/>
                <w:sz w:val="16"/>
                <w:szCs w:val="16"/>
              </w:rPr>
              <w:t>碩士班核心能力</w:t>
            </w:r>
          </w:p>
        </w:tc>
        <w:tc>
          <w:tcPr>
            <w:tcW w:w="3795" w:type="dxa"/>
          </w:tcPr>
          <w:p w:rsidR="00A211EB" w:rsidRDefault="00A211EB" w:rsidP="00E9778E">
            <w:r>
              <w:t>A D</w:t>
            </w:r>
          </w:p>
        </w:tc>
      </w:tr>
      <w:tr w:rsidR="00A211EB" w:rsidTr="00647A71">
        <w:tc>
          <w:tcPr>
            <w:tcW w:w="10008" w:type="dxa"/>
            <w:gridSpan w:val="10"/>
            <w:shd w:val="clear" w:color="auto" w:fill="D9D9D9"/>
          </w:tcPr>
          <w:p w:rsidR="00A211EB" w:rsidRPr="00E9778E" w:rsidRDefault="00A211EB" w:rsidP="00E9778E">
            <w:pPr>
              <w:jc w:val="center"/>
              <w:rPr>
                <w:rFonts w:ascii="新細明體"/>
                <w:b/>
                <w:bCs/>
                <w:sz w:val="26"/>
                <w:szCs w:val="26"/>
              </w:rPr>
            </w:pPr>
            <w:r w:rsidRPr="00E9778E">
              <w:rPr>
                <w:rFonts w:ascii="新細明體" w:hAnsi="新細明體" w:cs="新細明體" w:hint="eastAsia"/>
                <w:b/>
                <w:bCs/>
                <w:sz w:val="26"/>
                <w:szCs w:val="26"/>
              </w:rPr>
              <w:t>課程大綱</w:t>
            </w:r>
          </w:p>
        </w:tc>
      </w:tr>
      <w:tr w:rsidR="00A211EB" w:rsidTr="00647A71">
        <w:tc>
          <w:tcPr>
            <w:tcW w:w="1188" w:type="dxa"/>
          </w:tcPr>
          <w:p w:rsidR="00A211EB" w:rsidRPr="00E9778E" w:rsidRDefault="00A211EB" w:rsidP="00E9778E">
            <w:pPr>
              <w:rPr>
                <w:sz w:val="26"/>
                <w:szCs w:val="26"/>
              </w:rPr>
            </w:pPr>
            <w:r w:rsidRPr="00E9778E">
              <w:rPr>
                <w:rFonts w:cs="新細明體" w:hint="eastAsia"/>
                <w:sz w:val="26"/>
                <w:szCs w:val="26"/>
              </w:rPr>
              <w:t>課程目標</w:t>
            </w:r>
          </w:p>
        </w:tc>
        <w:tc>
          <w:tcPr>
            <w:tcW w:w="8820" w:type="dxa"/>
            <w:gridSpan w:val="9"/>
          </w:tcPr>
          <w:p w:rsidR="00A211EB" w:rsidRDefault="00A211EB" w:rsidP="00E9778E">
            <w:pPr>
              <w:numPr>
                <w:ilvl w:val="0"/>
                <w:numId w:val="2"/>
              </w:numPr>
              <w:spacing w:line="440" w:lineRule="exact"/>
              <w:jc w:val="both"/>
            </w:pPr>
            <w:r>
              <w:rPr>
                <w:rFonts w:cs="新細明體" w:hint="eastAsia"/>
              </w:rPr>
              <w:t>培養學生對於臺灣於一八九五年進入近代國家體制後至今憲法變遷與政治發展歷程之認識。</w:t>
            </w:r>
          </w:p>
          <w:p w:rsidR="00A211EB" w:rsidRDefault="00A211EB" w:rsidP="00E9778E">
            <w:pPr>
              <w:numPr>
                <w:ilvl w:val="0"/>
                <w:numId w:val="2"/>
              </w:numPr>
              <w:spacing w:line="440" w:lineRule="exact"/>
              <w:jc w:val="both"/>
            </w:pPr>
            <w:r>
              <w:rPr>
                <w:rFonts w:cs="新細明體" w:hint="eastAsia"/>
              </w:rPr>
              <w:t>引導學生對於影響臺灣憲法變遷與政治發展之客觀歷史條件與啟蒙人物及其思想之研究興趣。</w:t>
            </w:r>
          </w:p>
          <w:p w:rsidR="00A211EB" w:rsidRPr="00842029" w:rsidRDefault="00A211EB" w:rsidP="00E9778E">
            <w:pPr>
              <w:numPr>
                <w:ilvl w:val="0"/>
                <w:numId w:val="2"/>
              </w:numPr>
              <w:spacing w:line="440" w:lineRule="exact"/>
              <w:jc w:val="both"/>
            </w:pPr>
            <w:r>
              <w:rPr>
                <w:rFonts w:cs="新細明體" w:hint="eastAsia"/>
              </w:rPr>
              <w:t>鼓勵學生探索憲法變遷與政治發展理論在臺灣個案經驗上之應用與印證。</w:t>
            </w:r>
          </w:p>
        </w:tc>
      </w:tr>
      <w:tr w:rsidR="00A211EB" w:rsidTr="00647A71">
        <w:tc>
          <w:tcPr>
            <w:tcW w:w="1188" w:type="dxa"/>
          </w:tcPr>
          <w:p w:rsidR="00A211EB" w:rsidRPr="00E9778E" w:rsidRDefault="00A211EB" w:rsidP="00E9778E">
            <w:pPr>
              <w:rPr>
                <w:sz w:val="26"/>
                <w:szCs w:val="26"/>
              </w:rPr>
            </w:pPr>
            <w:r w:rsidRPr="00E9778E">
              <w:rPr>
                <w:rFonts w:cs="新細明體" w:hint="eastAsia"/>
                <w:sz w:val="26"/>
                <w:szCs w:val="26"/>
              </w:rPr>
              <w:t>課程概述</w:t>
            </w:r>
          </w:p>
        </w:tc>
        <w:tc>
          <w:tcPr>
            <w:tcW w:w="8820" w:type="dxa"/>
            <w:gridSpan w:val="9"/>
          </w:tcPr>
          <w:p w:rsidR="00A211EB" w:rsidRDefault="00A211EB" w:rsidP="00E9778E">
            <w:pPr>
              <w:spacing w:line="440" w:lineRule="exact"/>
              <w:jc w:val="both"/>
            </w:pPr>
            <w:r>
              <w:rPr>
                <w:rFonts w:cs="新細明體" w:hint="eastAsia"/>
              </w:rPr>
              <w:t>本課程之內容重點：</w:t>
            </w:r>
          </w:p>
          <w:p w:rsidR="00A211EB" w:rsidRDefault="00A211EB" w:rsidP="00E9778E">
            <w:pPr>
              <w:spacing w:line="440" w:lineRule="exact"/>
              <w:jc w:val="both"/>
            </w:pPr>
            <w:r>
              <w:rPr>
                <w:rFonts w:cs="新細明體" w:hint="eastAsia"/>
              </w:rPr>
              <w:t>一、探索臺灣民主國之體制選擇、建國思想與其影響。</w:t>
            </w:r>
          </w:p>
          <w:p w:rsidR="00A211EB" w:rsidRDefault="00A211EB" w:rsidP="00A211EB">
            <w:pPr>
              <w:spacing w:line="440" w:lineRule="exact"/>
              <w:ind w:left="31680" w:hangingChars="200" w:firstLine="31680"/>
              <w:jc w:val="both"/>
            </w:pPr>
            <w:r>
              <w:rPr>
                <w:rFonts w:cs="新細明體" w:hint="eastAsia"/>
              </w:rPr>
              <w:t>二、發掘日本殖民統治時期之臺灣憲法秩序和臺灣人反殖民抗爭的制度與精神遺緒。</w:t>
            </w:r>
          </w:p>
          <w:p w:rsidR="00A211EB" w:rsidRDefault="00A211EB" w:rsidP="00A211EB">
            <w:pPr>
              <w:spacing w:line="440" w:lineRule="exact"/>
              <w:ind w:left="31680" w:hangingChars="200" w:firstLine="31680"/>
              <w:jc w:val="both"/>
            </w:pPr>
            <w:r>
              <w:rPr>
                <w:rFonts w:cs="新細明體" w:hint="eastAsia"/>
              </w:rPr>
              <w:t>三、中華民國訓政與國家緊急權體制先後移入臺灣的過程及其實施。</w:t>
            </w:r>
          </w:p>
          <w:p w:rsidR="00A211EB" w:rsidRDefault="00A211EB" w:rsidP="00A211EB">
            <w:pPr>
              <w:spacing w:line="440" w:lineRule="exact"/>
              <w:ind w:left="31680" w:hangingChars="200" w:firstLine="31680"/>
              <w:jc w:val="both"/>
            </w:pPr>
            <w:r>
              <w:rPr>
                <w:rFonts w:cs="新細明體" w:hint="eastAsia"/>
              </w:rPr>
              <w:t>四、〈動員戡亂時期臨時條款〉的歷次修正</w:t>
            </w:r>
          </w:p>
          <w:p w:rsidR="00A211EB" w:rsidRDefault="00A211EB" w:rsidP="00A211EB">
            <w:pPr>
              <w:spacing w:line="440" w:lineRule="exact"/>
              <w:ind w:left="31680" w:hangingChars="200" w:firstLine="31680"/>
              <w:jc w:val="both"/>
            </w:pPr>
            <w:r>
              <w:rPr>
                <w:rFonts w:cs="新細明體" w:hint="eastAsia"/>
              </w:rPr>
              <w:t>五、臺灣反對運動的憲政主張。</w:t>
            </w:r>
          </w:p>
          <w:p w:rsidR="00A211EB" w:rsidRDefault="00A211EB" w:rsidP="00A211EB">
            <w:pPr>
              <w:spacing w:line="440" w:lineRule="exact"/>
              <w:ind w:left="31680" w:hangingChars="200" w:firstLine="31680"/>
              <w:jc w:val="both"/>
            </w:pPr>
            <w:r>
              <w:rPr>
                <w:rFonts w:cs="新細明體" w:hint="eastAsia"/>
              </w:rPr>
              <w:t>六、〈憲法增修條文〉的歷次修正。</w:t>
            </w:r>
          </w:p>
          <w:p w:rsidR="00A211EB" w:rsidRDefault="00A211EB" w:rsidP="00A211EB">
            <w:pPr>
              <w:spacing w:line="440" w:lineRule="exact"/>
              <w:ind w:left="31680" w:hangingChars="200" w:firstLine="31680"/>
              <w:jc w:val="both"/>
            </w:pPr>
            <w:r>
              <w:rPr>
                <w:rFonts w:cs="新細明體" w:hint="eastAsia"/>
              </w:rPr>
              <w:t>七、憲法理論的重點議題：如權力分立理論、人民權利義務、中央政治體制、地方政治體制、基本國策、修憲等。</w:t>
            </w:r>
          </w:p>
          <w:p w:rsidR="00A211EB" w:rsidRDefault="00A211EB" w:rsidP="00A211EB">
            <w:pPr>
              <w:ind w:left="31680" w:hangingChars="197" w:firstLine="31680"/>
            </w:pPr>
            <w:r>
              <w:rPr>
                <w:rFonts w:cs="新細明體" w:hint="eastAsia"/>
              </w:rPr>
              <w:t>八、有關政治發展的若干重點議題：如政治發展與民主、政治變遷、政治現代化、政治精英等。</w:t>
            </w:r>
          </w:p>
        </w:tc>
      </w:tr>
      <w:tr w:rsidR="00A211EB" w:rsidTr="00647A71">
        <w:trPr>
          <w:trHeight w:val="425"/>
        </w:trPr>
        <w:tc>
          <w:tcPr>
            <w:tcW w:w="1188" w:type="dxa"/>
          </w:tcPr>
          <w:p w:rsidR="00A211EB" w:rsidRPr="00E9778E" w:rsidRDefault="00A211EB" w:rsidP="00E9778E">
            <w:pPr>
              <w:rPr>
                <w:sz w:val="26"/>
                <w:szCs w:val="26"/>
              </w:rPr>
            </w:pPr>
            <w:r w:rsidRPr="00E9778E">
              <w:rPr>
                <w:rFonts w:cs="新細明體" w:hint="eastAsia"/>
                <w:sz w:val="26"/>
                <w:szCs w:val="26"/>
              </w:rPr>
              <w:t>關鍵字</w:t>
            </w:r>
          </w:p>
        </w:tc>
        <w:tc>
          <w:tcPr>
            <w:tcW w:w="8820" w:type="dxa"/>
            <w:gridSpan w:val="9"/>
          </w:tcPr>
          <w:p w:rsidR="00A211EB" w:rsidRDefault="00A211EB" w:rsidP="00E9778E">
            <w:r>
              <w:rPr>
                <w:rFonts w:cs="新細明體" w:hint="eastAsia"/>
              </w:rPr>
              <w:t>臺灣、憲法變遷、政治發展、中國國民黨、民主進步黨、修憲、制憲</w:t>
            </w:r>
          </w:p>
        </w:tc>
      </w:tr>
      <w:tr w:rsidR="00A211EB" w:rsidTr="00647A71">
        <w:trPr>
          <w:trHeight w:val="355"/>
        </w:trPr>
        <w:tc>
          <w:tcPr>
            <w:tcW w:w="1188" w:type="dxa"/>
          </w:tcPr>
          <w:p w:rsidR="00A211EB" w:rsidRPr="00E9778E" w:rsidRDefault="00A211EB" w:rsidP="00E9778E">
            <w:pPr>
              <w:rPr>
                <w:sz w:val="26"/>
                <w:szCs w:val="26"/>
              </w:rPr>
            </w:pPr>
            <w:r w:rsidRPr="00E9778E">
              <w:rPr>
                <w:rFonts w:cs="新細明體" w:hint="eastAsia"/>
                <w:sz w:val="26"/>
                <w:szCs w:val="26"/>
              </w:rPr>
              <w:t>課程要求</w:t>
            </w:r>
          </w:p>
        </w:tc>
        <w:tc>
          <w:tcPr>
            <w:tcW w:w="8820" w:type="dxa"/>
            <w:gridSpan w:val="9"/>
          </w:tcPr>
          <w:p w:rsidR="00A211EB" w:rsidRPr="00E9778E" w:rsidRDefault="00A211EB" w:rsidP="00E9778E">
            <w:pPr>
              <w:tabs>
                <w:tab w:val="num" w:pos="1275"/>
              </w:tabs>
              <w:spacing w:line="440" w:lineRule="exact"/>
              <w:jc w:val="both"/>
              <w:rPr>
                <w:b/>
                <w:bCs/>
              </w:rPr>
            </w:pPr>
            <w:r w:rsidRPr="00E9778E">
              <w:rPr>
                <w:rFonts w:cs="新細明體" w:hint="eastAsia"/>
                <w:b/>
                <w:bCs/>
              </w:rPr>
              <w:t>一、基本規定</w:t>
            </w:r>
          </w:p>
          <w:p w:rsidR="00A211EB" w:rsidRDefault="00A211EB" w:rsidP="00A211EB">
            <w:pPr>
              <w:tabs>
                <w:tab w:val="num" w:pos="2040"/>
              </w:tabs>
              <w:spacing w:line="440" w:lineRule="exact"/>
              <w:ind w:left="31680" w:hangingChars="250" w:firstLine="31680"/>
              <w:jc w:val="both"/>
            </w:pPr>
            <w:r>
              <w:rPr>
                <w:rFonts w:cs="新細明體" w:hint="eastAsia"/>
              </w:rPr>
              <w:t>（一）實施學術論文寫作訓練：擬針對研修學生所提交之各種報告（包括口頭報告之書面文件與學期報告），嚴格要求研修學生務必懂得學術論文規格，其學術產品必須符合學術論文規格。</w:t>
            </w:r>
          </w:p>
          <w:p w:rsidR="00A211EB" w:rsidRDefault="00A211EB" w:rsidP="00A211EB">
            <w:pPr>
              <w:tabs>
                <w:tab w:val="num" w:pos="2040"/>
              </w:tabs>
              <w:spacing w:line="440" w:lineRule="exact"/>
              <w:ind w:left="31680" w:hangingChars="250" w:firstLine="31680"/>
              <w:jc w:val="both"/>
            </w:pPr>
            <w:r>
              <w:rPr>
                <w:rFonts w:cs="新細明體" w:hint="eastAsia"/>
              </w:rPr>
              <w:t>（二）實施報告和評論訓練：擬由研修學生就某一主題選擇一適當的研究題目，經本課程任課教師認可後，指導學生著手進行撰寫工作，每位學生的口頭報告，必須事先準備好一份書面文件，即《研究報告計畫書》（主要重點包括：</w:t>
            </w:r>
            <w:r>
              <w:t>1.</w:t>
            </w:r>
            <w:r>
              <w:rPr>
                <w:rFonts w:cs="新細明體" w:hint="eastAsia"/>
              </w:rPr>
              <w:t>題目</w:t>
            </w:r>
            <w:r>
              <w:t>2.</w:t>
            </w:r>
            <w:r>
              <w:rPr>
                <w:rFonts w:cs="新細明體" w:hint="eastAsia"/>
              </w:rPr>
              <w:t>研究目的</w:t>
            </w:r>
            <w:r>
              <w:t>3.</w:t>
            </w:r>
            <w:r>
              <w:rPr>
                <w:rFonts w:cs="新細明體" w:hint="eastAsia"/>
              </w:rPr>
              <w:t>問題陳述</w:t>
            </w:r>
            <w:r>
              <w:t>4.</w:t>
            </w:r>
            <w:r>
              <w:rPr>
                <w:rFonts w:cs="新細明體" w:hint="eastAsia"/>
              </w:rPr>
              <w:t>文獻回顧</w:t>
            </w:r>
            <w:r>
              <w:t>5.</w:t>
            </w:r>
            <w:r>
              <w:rPr>
                <w:rFonts w:cs="新細明體" w:hint="eastAsia"/>
              </w:rPr>
              <w:t>研究途徑、分析架構及研究方法</w:t>
            </w:r>
            <w:r>
              <w:t>6.</w:t>
            </w:r>
            <w:r>
              <w:rPr>
                <w:rFonts w:cs="新細明體" w:hint="eastAsia"/>
              </w:rPr>
              <w:t>大綱</w:t>
            </w:r>
            <w:r>
              <w:t>7.</w:t>
            </w:r>
            <w:r>
              <w:rPr>
                <w:rFonts w:cs="新細明體" w:hint="eastAsia"/>
              </w:rPr>
              <w:t>參考書目），作為期中研究報告。</w:t>
            </w:r>
          </w:p>
          <w:p w:rsidR="00A211EB" w:rsidRDefault="00A211EB" w:rsidP="00A211EB">
            <w:pPr>
              <w:tabs>
                <w:tab w:val="left" w:pos="192"/>
              </w:tabs>
              <w:ind w:left="31680" w:hangingChars="250" w:firstLine="31680"/>
            </w:pPr>
            <w:r>
              <w:rPr>
                <w:rFonts w:cs="新細明體" w:hint="eastAsia"/>
              </w:rPr>
              <w:t>（三）本課程研修學生必須繳交《研究報告計畫書》（期中研究報告，此</w:t>
            </w:r>
            <w:r>
              <w:t xml:space="preserve">    </w:t>
            </w:r>
            <w:r>
              <w:rPr>
                <w:rFonts w:cs="新細明體" w:hint="eastAsia"/>
              </w:rPr>
              <w:t>猶如某建築設計企劃書、某專案活動企劃書）和《學期報告》（</w:t>
            </w:r>
            <w:r>
              <w:t>term paper</w:t>
            </w:r>
            <w:r>
              <w:rPr>
                <w:rFonts w:cs="新細明體" w:hint="eastAsia"/>
              </w:rPr>
              <w:t>，即期末研究報告，此猶如某建物、某活動）各乙份。</w:t>
            </w:r>
          </w:p>
          <w:p w:rsidR="00A211EB" w:rsidRPr="00E9778E" w:rsidRDefault="00A211EB" w:rsidP="00E9778E">
            <w:pPr>
              <w:spacing w:line="440" w:lineRule="exact"/>
              <w:jc w:val="both"/>
              <w:rPr>
                <w:b/>
                <w:bCs/>
              </w:rPr>
            </w:pPr>
            <w:r w:rsidRPr="00E9778E">
              <w:rPr>
                <w:rFonts w:cs="新細明體" w:hint="eastAsia"/>
                <w:b/>
                <w:bCs/>
              </w:rPr>
              <w:t>二、注意事項</w:t>
            </w:r>
          </w:p>
          <w:p w:rsidR="00A211EB" w:rsidRDefault="00A211EB" w:rsidP="00A211EB">
            <w:pPr>
              <w:spacing w:line="440" w:lineRule="exact"/>
              <w:ind w:firstLineChars="200" w:firstLine="31680"/>
              <w:jc w:val="both"/>
            </w:pPr>
            <w:r>
              <w:rPr>
                <w:rFonts w:cs="新細明體" w:hint="eastAsia"/>
              </w:rPr>
              <w:t>關於口頭報告之書面文件，即《研究報告計畫書》（期中研究報告）</w:t>
            </w:r>
          </w:p>
          <w:p w:rsidR="00A211EB" w:rsidRDefault="00A211EB" w:rsidP="00A211EB">
            <w:pPr>
              <w:spacing w:line="440" w:lineRule="exact"/>
              <w:ind w:leftChars="200" w:left="31680" w:hangingChars="100" w:firstLine="31680"/>
              <w:jc w:val="both"/>
            </w:pPr>
            <w:r>
              <w:t>1.</w:t>
            </w:r>
            <w:r>
              <w:rPr>
                <w:rFonts w:cs="新細明體" w:hint="eastAsia"/>
              </w:rPr>
              <w:t>範圍：報告人所選定之研究題目，應屬於本課程講授之範圍，且是經由任課教師所認可者。</w:t>
            </w:r>
          </w:p>
          <w:p w:rsidR="00A211EB" w:rsidRDefault="00A211EB" w:rsidP="00A211EB">
            <w:pPr>
              <w:tabs>
                <w:tab w:val="left" w:pos="192"/>
              </w:tabs>
              <w:ind w:leftChars="197" w:left="31680" w:hangingChars="59" w:firstLine="31680"/>
            </w:pPr>
            <w:r>
              <w:t>2.</w:t>
            </w:r>
            <w:r>
              <w:rPr>
                <w:rFonts w:cs="新細明體" w:hint="eastAsia"/>
              </w:rPr>
              <w:t>口頭報告之書面文件，就是指在撰寫本課程之《學期報告》（期末研究報告）之前，宜事先草擬的《研究報告計畫書》，做為期中研究報告，而學生之期中研究報告成績，則以口頭報告之表現及其書面文件（即《研究報告計畫書》）為主要考量重點。</w:t>
            </w:r>
          </w:p>
          <w:p w:rsidR="00A211EB" w:rsidRDefault="00A211EB" w:rsidP="00A211EB">
            <w:pPr>
              <w:spacing w:line="440" w:lineRule="exact"/>
              <w:ind w:firstLineChars="200" w:firstLine="31680"/>
              <w:jc w:val="both"/>
            </w:pPr>
            <w:r>
              <w:t>3.</w:t>
            </w:r>
            <w:r>
              <w:rPr>
                <w:rFonts w:cs="新細明體" w:hint="eastAsia"/>
              </w:rPr>
              <w:t>一人口頭報告、兩人評論。</w:t>
            </w:r>
          </w:p>
          <w:p w:rsidR="00A211EB" w:rsidRDefault="00A211EB" w:rsidP="00A211EB">
            <w:pPr>
              <w:spacing w:line="440" w:lineRule="exact"/>
              <w:ind w:firstLineChars="200" w:firstLine="31680"/>
              <w:jc w:val="both"/>
            </w:pPr>
            <w:r>
              <w:t>4.</w:t>
            </w:r>
            <w:r>
              <w:rPr>
                <w:rFonts w:cs="新細明體" w:hint="eastAsia"/>
              </w:rPr>
              <w:t>字數：</w:t>
            </w:r>
            <w:r>
              <w:t>6000-12000</w:t>
            </w:r>
            <w:r>
              <w:rPr>
                <w:rFonts w:cs="新細明體" w:hint="eastAsia"/>
              </w:rPr>
              <w:t>字</w:t>
            </w:r>
          </w:p>
          <w:p w:rsidR="00A211EB" w:rsidRDefault="00A211EB" w:rsidP="00A211EB">
            <w:pPr>
              <w:spacing w:line="440" w:lineRule="exact"/>
              <w:ind w:leftChars="200" w:left="31680" w:hangingChars="100" w:firstLine="31680"/>
              <w:jc w:val="both"/>
            </w:pPr>
            <w:r>
              <w:t>5.</w:t>
            </w:r>
            <w:r>
              <w:rPr>
                <w:rFonts w:cs="新細明體" w:hint="eastAsia"/>
              </w:rPr>
              <w:t>撰寫《研究報告計畫書》和《學期報告》，兩者皆必須符合學術論文規格。</w:t>
            </w:r>
          </w:p>
          <w:p w:rsidR="00A211EB" w:rsidRPr="00842029" w:rsidRDefault="00A211EB" w:rsidP="00A211EB">
            <w:pPr>
              <w:tabs>
                <w:tab w:val="left" w:pos="192"/>
              </w:tabs>
              <w:ind w:leftChars="197" w:left="31680" w:hangingChars="59" w:firstLine="31680"/>
            </w:pPr>
            <w:r>
              <w:t>6.</w:t>
            </w:r>
            <w:r>
              <w:rPr>
                <w:rFonts w:cs="新細明體" w:hint="eastAsia"/>
              </w:rPr>
              <w:t>學術論文規格之自我要求，口頭報告與評論訓練之績效，皆須在《學期報告》中儘量表現。</w:t>
            </w:r>
          </w:p>
        </w:tc>
      </w:tr>
      <w:tr w:rsidR="00A211EB" w:rsidTr="00647A71">
        <w:tc>
          <w:tcPr>
            <w:tcW w:w="1188" w:type="dxa"/>
          </w:tcPr>
          <w:p w:rsidR="00A211EB" w:rsidRPr="00647A71" w:rsidRDefault="00A211EB" w:rsidP="00E9778E">
            <w:pPr>
              <w:rPr>
                <w:sz w:val="16"/>
                <w:szCs w:val="16"/>
              </w:rPr>
            </w:pPr>
            <w:r w:rsidRPr="00647A71">
              <w:rPr>
                <w:sz w:val="16"/>
                <w:szCs w:val="16"/>
              </w:rPr>
              <w:t>Office Hours</w:t>
            </w:r>
          </w:p>
        </w:tc>
        <w:tc>
          <w:tcPr>
            <w:tcW w:w="8820" w:type="dxa"/>
            <w:gridSpan w:val="9"/>
          </w:tcPr>
          <w:p w:rsidR="00A211EB" w:rsidRDefault="00A211EB" w:rsidP="00E9778E">
            <w:r>
              <w:rPr>
                <w:rFonts w:cs="新細明體" w:hint="eastAsia"/>
              </w:rPr>
              <w:t>星期一下課後</w:t>
            </w:r>
          </w:p>
        </w:tc>
      </w:tr>
      <w:tr w:rsidR="00A211EB" w:rsidTr="00647A71">
        <w:trPr>
          <w:trHeight w:val="678"/>
        </w:trPr>
        <w:tc>
          <w:tcPr>
            <w:tcW w:w="1188" w:type="dxa"/>
          </w:tcPr>
          <w:p w:rsidR="00A211EB" w:rsidRDefault="00A211EB" w:rsidP="00E9778E">
            <w:pPr>
              <w:rPr>
                <w:sz w:val="26"/>
                <w:szCs w:val="26"/>
              </w:rPr>
            </w:pPr>
            <w:r w:rsidRPr="00E9778E">
              <w:rPr>
                <w:rFonts w:cs="新細明體" w:hint="eastAsia"/>
                <w:sz w:val="26"/>
                <w:szCs w:val="26"/>
              </w:rPr>
              <w:t>參考</w:t>
            </w:r>
          </w:p>
          <w:p w:rsidR="00A211EB" w:rsidRPr="00E9778E" w:rsidRDefault="00A211EB" w:rsidP="00E9778E">
            <w:pPr>
              <w:rPr>
                <w:sz w:val="26"/>
                <w:szCs w:val="26"/>
              </w:rPr>
            </w:pPr>
            <w:r w:rsidRPr="00E9778E">
              <w:rPr>
                <w:rFonts w:cs="新細明體" w:hint="eastAsia"/>
                <w:sz w:val="26"/>
                <w:szCs w:val="26"/>
              </w:rPr>
              <w:t>書目</w:t>
            </w:r>
          </w:p>
        </w:tc>
        <w:tc>
          <w:tcPr>
            <w:tcW w:w="8820" w:type="dxa"/>
            <w:gridSpan w:val="9"/>
          </w:tcPr>
          <w:p w:rsidR="00A211EB" w:rsidRDefault="00A211EB" w:rsidP="00A211EB">
            <w:pPr>
              <w:ind w:left="31680" w:hangingChars="200" w:firstLine="31680"/>
              <w:jc w:val="both"/>
            </w:pPr>
            <w:r>
              <w:rPr>
                <w:rFonts w:cs="新細明體" w:hint="eastAsia"/>
              </w:rPr>
              <w:t>王泰升，</w:t>
            </w:r>
            <w:r>
              <w:t>1997</w:t>
            </w:r>
            <w:r>
              <w:rPr>
                <w:rFonts w:cs="新細明體" w:hint="eastAsia"/>
              </w:rPr>
              <w:t>，《台灣法律史的建立》，台北：著者發行。</w:t>
            </w:r>
          </w:p>
          <w:p w:rsidR="00A211EB" w:rsidRDefault="00A211EB" w:rsidP="00647A71">
            <w:pPr>
              <w:jc w:val="both"/>
            </w:pPr>
            <w:r>
              <w:rPr>
                <w:rFonts w:cs="新細明體" w:hint="eastAsia"/>
              </w:rPr>
              <w:t>王泰升主編，</w:t>
            </w:r>
            <w:r>
              <w:t>2000</w:t>
            </w:r>
            <w:r>
              <w:rPr>
                <w:rFonts w:cs="新細明體" w:hint="eastAsia"/>
              </w:rPr>
              <w:t>，《臺灣法律史研究的方法》，台北：學林文化。</w:t>
            </w:r>
          </w:p>
          <w:p w:rsidR="00A211EB" w:rsidRDefault="00A211EB" w:rsidP="00647A71">
            <w:pPr>
              <w:jc w:val="both"/>
            </w:pPr>
            <w:r>
              <w:rPr>
                <w:rFonts w:cs="新細明體" w:hint="eastAsia"/>
              </w:rPr>
              <w:t>江炳倫，</w:t>
            </w:r>
            <w:r>
              <w:t>1979</w:t>
            </w:r>
            <w:r>
              <w:rPr>
                <w:rFonts w:cs="新細明體" w:hint="eastAsia"/>
              </w:rPr>
              <w:t>，《政治發展的理論》，臺北：臺灣商務印書館，。</w:t>
            </w:r>
          </w:p>
          <w:p w:rsidR="00A211EB" w:rsidRDefault="00A211EB" w:rsidP="00647A71">
            <w:pPr>
              <w:jc w:val="both"/>
            </w:pPr>
            <w:r>
              <w:rPr>
                <w:rFonts w:cs="新細明體" w:hint="eastAsia"/>
              </w:rPr>
              <w:t>任德厚，</w:t>
            </w:r>
            <w:r>
              <w:t>2001</w:t>
            </w:r>
            <w:r>
              <w:rPr>
                <w:rFonts w:cs="新細明體" w:hint="eastAsia"/>
              </w:rPr>
              <w:t>，《政治學》，台北：著者發行。</w:t>
            </w:r>
          </w:p>
          <w:p w:rsidR="00A211EB" w:rsidRDefault="00A211EB" w:rsidP="00647A71">
            <w:pPr>
              <w:jc w:val="both"/>
            </w:pPr>
            <w:r>
              <w:rPr>
                <w:rFonts w:cs="新細明體" w:hint="eastAsia"/>
              </w:rPr>
              <w:t>呂亞力，</w:t>
            </w:r>
            <w:r>
              <w:t>1988</w:t>
            </w:r>
            <w:r>
              <w:rPr>
                <w:rFonts w:cs="新細明體" w:hint="eastAsia"/>
              </w:rPr>
              <w:t>，《政治發展與民主》，臺北：五南圖書出版公司，。</w:t>
            </w:r>
          </w:p>
          <w:p w:rsidR="00A211EB" w:rsidRDefault="00A211EB" w:rsidP="00647A71">
            <w:pPr>
              <w:jc w:val="both"/>
            </w:pPr>
            <w:r>
              <w:rPr>
                <w:rFonts w:cs="新細明體" w:hint="eastAsia"/>
              </w:rPr>
              <w:t>呂亞力，</w:t>
            </w:r>
            <w:r>
              <w:t>1995</w:t>
            </w:r>
            <w:r>
              <w:rPr>
                <w:rFonts w:cs="新細明體" w:hint="eastAsia"/>
              </w:rPr>
              <w:t>，《政治發展》，臺北：黎明文化事業股份有限公司。</w:t>
            </w:r>
          </w:p>
          <w:p w:rsidR="00A211EB" w:rsidRDefault="00A211EB" w:rsidP="00647A71">
            <w:pPr>
              <w:widowControl/>
              <w:autoSpaceDE w:val="0"/>
              <w:autoSpaceDN w:val="0"/>
              <w:spacing w:line="200" w:lineRule="atLeast"/>
              <w:jc w:val="both"/>
              <w:textAlignment w:val="bottom"/>
            </w:pPr>
            <w:r>
              <w:rPr>
                <w:rFonts w:cs="新細明體" w:hint="eastAsia"/>
              </w:rPr>
              <w:t>呂亞力，</w:t>
            </w:r>
            <w:r>
              <w:t>2003</w:t>
            </w:r>
            <w:r>
              <w:rPr>
                <w:rFonts w:cs="新細明體" w:hint="eastAsia"/>
              </w:rPr>
              <w:t>，《政治學》，台北：三民書局。</w:t>
            </w:r>
          </w:p>
          <w:p w:rsidR="00A211EB" w:rsidRDefault="00A211EB" w:rsidP="00647A71">
            <w:pPr>
              <w:jc w:val="both"/>
            </w:pPr>
            <w:r>
              <w:rPr>
                <w:rFonts w:cs="新細明體" w:hint="eastAsia"/>
              </w:rPr>
              <w:t>吳庚，</w:t>
            </w:r>
            <w:r>
              <w:t>2003</w:t>
            </w:r>
            <w:r>
              <w:rPr>
                <w:rFonts w:cs="新細明體" w:hint="eastAsia"/>
              </w:rPr>
              <w:t>，《憲法的解釋與適用》，台北：著者發行。</w:t>
            </w:r>
          </w:p>
          <w:p w:rsidR="00A211EB" w:rsidRDefault="00A211EB" w:rsidP="00A211EB">
            <w:pPr>
              <w:ind w:left="31680" w:hangingChars="200" w:firstLine="31680"/>
              <w:jc w:val="both"/>
            </w:pPr>
            <w:r>
              <w:rPr>
                <w:rFonts w:cs="新細明體" w:hint="eastAsia"/>
              </w:rPr>
              <w:t>若林正丈著，洪金珠、許佩賢譯，</w:t>
            </w:r>
            <w:r>
              <w:t>1994</w:t>
            </w:r>
            <w:r>
              <w:rPr>
                <w:rFonts w:cs="新細明體" w:hint="eastAsia"/>
              </w:rPr>
              <w:t>，《臺灣：分裂國家與民主化》，台北：月旦出版社。</w:t>
            </w:r>
          </w:p>
          <w:p w:rsidR="00A211EB" w:rsidRDefault="00A211EB" w:rsidP="00647A71">
            <w:pPr>
              <w:jc w:val="both"/>
            </w:pPr>
            <w:r>
              <w:rPr>
                <w:rFonts w:cs="新細明體" w:hint="eastAsia"/>
              </w:rPr>
              <w:t>邱榮舉，</w:t>
            </w:r>
            <w:r>
              <w:t>2002</w:t>
            </w:r>
            <w:r>
              <w:rPr>
                <w:rFonts w:cs="新細明體" w:hint="eastAsia"/>
              </w:rPr>
              <w:t>，《學術論文寫作研究》，台北：翰蘆出版社。</w:t>
            </w:r>
          </w:p>
          <w:p w:rsidR="00A211EB" w:rsidRDefault="00A211EB" w:rsidP="00647A71">
            <w:pPr>
              <w:jc w:val="both"/>
            </w:pPr>
            <w:r>
              <w:rPr>
                <w:rFonts w:cs="新細明體" w:hint="eastAsia"/>
              </w:rPr>
              <w:t>李惠宗，</w:t>
            </w:r>
            <w:r>
              <w:t>2002</w:t>
            </w:r>
            <w:r>
              <w:rPr>
                <w:rFonts w:cs="新細明體" w:hint="eastAsia"/>
              </w:rPr>
              <w:t>，《憲法要義》，台北：元照出版公司。</w:t>
            </w:r>
          </w:p>
          <w:p w:rsidR="00A211EB" w:rsidRDefault="00A211EB" w:rsidP="00647A71">
            <w:pPr>
              <w:jc w:val="both"/>
            </w:pPr>
            <w:r>
              <w:rPr>
                <w:rFonts w:cs="新細明體" w:hint="eastAsia"/>
              </w:rPr>
              <w:t>李鴻禧，</w:t>
            </w:r>
            <w:r>
              <w:t>1994</w:t>
            </w:r>
            <w:r>
              <w:rPr>
                <w:rFonts w:cs="新細明體" w:hint="eastAsia"/>
              </w:rPr>
              <w:t>，《李鴻禧憲法教室》，台北：月旦出版社。</w:t>
            </w:r>
          </w:p>
          <w:p w:rsidR="00A211EB" w:rsidRDefault="00A211EB" w:rsidP="00647A71">
            <w:pPr>
              <w:jc w:val="both"/>
            </w:pPr>
            <w:r>
              <w:rPr>
                <w:rFonts w:cs="新細明體" w:hint="eastAsia"/>
              </w:rPr>
              <w:t>李鴻禧，</w:t>
            </w:r>
            <w:r>
              <w:t>1999</w:t>
            </w:r>
            <w:r>
              <w:rPr>
                <w:rFonts w:cs="新細明體" w:hint="eastAsia"/>
              </w:rPr>
              <w:t>，《憲法與人權》，台北：元照出版公司。</w:t>
            </w:r>
          </w:p>
          <w:p w:rsidR="00A211EB" w:rsidRDefault="00A211EB" w:rsidP="00647A71">
            <w:pPr>
              <w:jc w:val="both"/>
            </w:pPr>
            <w:r>
              <w:rPr>
                <w:rFonts w:cs="新細明體" w:hint="eastAsia"/>
              </w:rPr>
              <w:t>李鴻禧等，</w:t>
            </w:r>
            <w:r>
              <w:t>2002</w:t>
            </w:r>
            <w:r>
              <w:rPr>
                <w:rFonts w:cs="新細明體" w:hint="eastAsia"/>
              </w:rPr>
              <w:t>，《台灣憲法之縱剖橫切》，台北：元照出版公司。</w:t>
            </w:r>
          </w:p>
          <w:p w:rsidR="00A211EB" w:rsidRDefault="00A211EB" w:rsidP="00647A71">
            <w:pPr>
              <w:jc w:val="both"/>
            </w:pPr>
            <w:r>
              <w:rPr>
                <w:rFonts w:cs="新細明體" w:hint="eastAsia"/>
              </w:rPr>
              <w:t>林文雄，</w:t>
            </w:r>
            <w:r>
              <w:t>2002</w:t>
            </w:r>
            <w:r>
              <w:rPr>
                <w:rFonts w:cs="新細明體" w:hint="eastAsia"/>
              </w:rPr>
              <w:t>，《中國法律思想初探》，台北：學林出版社。</w:t>
            </w:r>
          </w:p>
          <w:p w:rsidR="00A211EB" w:rsidRDefault="00A211EB" w:rsidP="00A211EB">
            <w:pPr>
              <w:ind w:left="31680" w:hangingChars="200" w:firstLine="31680"/>
              <w:rPr>
                <w:rFonts w:eastAsia="細明體"/>
                <w:color w:val="000000"/>
              </w:rPr>
            </w:pPr>
            <w:r w:rsidRPr="00E9778E">
              <w:rPr>
                <w:rFonts w:eastAsia="細明體" w:cs="細明體" w:hint="eastAsia"/>
                <w:color w:val="000000"/>
              </w:rPr>
              <w:t>林佳龍、曾建元，</w:t>
            </w:r>
            <w:r w:rsidRPr="00E9778E">
              <w:rPr>
                <w:rFonts w:eastAsia="細明體"/>
                <w:color w:val="000000"/>
              </w:rPr>
              <w:t>2011</w:t>
            </w:r>
            <w:r w:rsidRPr="00E9778E">
              <w:rPr>
                <w:rFonts w:eastAsia="細明體" w:cs="細明體" w:hint="eastAsia"/>
                <w:color w:val="000000"/>
              </w:rPr>
              <w:t>，〈臺灣民主轉型中的菁英選擇</w:t>
            </w:r>
            <w:r w:rsidRPr="00E9778E">
              <w:rPr>
                <w:rFonts w:eastAsia="細明體"/>
                <w:color w:val="000000"/>
              </w:rPr>
              <w:t>──</w:t>
            </w:r>
            <w:r w:rsidRPr="00E9778E">
              <w:rPr>
                <w:rFonts w:eastAsia="細明體" w:cs="細明體" w:hint="eastAsia"/>
                <w:color w:val="000000"/>
              </w:rPr>
              <w:t>論蔣經國與李登輝的領導典範〉，《</w:t>
            </w:r>
            <w:r>
              <w:rPr>
                <w:rFonts w:eastAsia="細明體" w:cs="細明體" w:hint="eastAsia"/>
                <w:color w:val="000000"/>
              </w:rPr>
              <w:t>中國史研究</w:t>
            </w:r>
            <w:r w:rsidRPr="00E9778E">
              <w:rPr>
                <w:rFonts w:eastAsia="細明體" w:cs="細明體" w:hint="eastAsia"/>
                <w:color w:val="000000"/>
              </w:rPr>
              <w:t>》</w:t>
            </w:r>
            <w:r>
              <w:rPr>
                <w:rFonts w:eastAsia="細明體" w:cs="細明體" w:hint="eastAsia"/>
                <w:color w:val="000000"/>
              </w:rPr>
              <w:t>，第六十二輯，大邱：韓國中國史學會，二</w:t>
            </w:r>
            <w:r>
              <w:rPr>
                <w:rFonts w:eastAsia="細明體"/>
                <w:color w:val="000000"/>
              </w:rPr>
              <w:t>00</w:t>
            </w:r>
            <w:r>
              <w:rPr>
                <w:rFonts w:eastAsia="細明體" w:cs="細明體" w:hint="eastAsia"/>
                <w:color w:val="000000"/>
              </w:rPr>
              <w:t>一一年六月。</w:t>
            </w:r>
          </w:p>
          <w:p w:rsidR="00A211EB" w:rsidRDefault="00A211EB" w:rsidP="00647A71">
            <w:pPr>
              <w:widowControl/>
              <w:autoSpaceDE w:val="0"/>
              <w:autoSpaceDN w:val="0"/>
              <w:spacing w:line="200" w:lineRule="atLeast"/>
              <w:jc w:val="both"/>
              <w:textAlignment w:val="bottom"/>
            </w:pPr>
            <w:r>
              <w:rPr>
                <w:rFonts w:cs="新細明體" w:hint="eastAsia"/>
              </w:rPr>
              <w:t>荊知仁，</w:t>
            </w:r>
            <w:r>
              <w:t>1984</w:t>
            </w:r>
            <w:r>
              <w:rPr>
                <w:rFonts w:cs="新細明體" w:hint="eastAsia"/>
              </w:rPr>
              <w:t>，《中國立憲史》，台北：聯經出版公司。</w:t>
            </w:r>
          </w:p>
          <w:p w:rsidR="00A211EB" w:rsidRDefault="00A211EB" w:rsidP="00A211EB">
            <w:pPr>
              <w:ind w:left="31680" w:hangingChars="200" w:firstLine="31680"/>
              <w:jc w:val="both"/>
            </w:pPr>
            <w:r>
              <w:rPr>
                <w:rFonts w:cs="新細明體" w:hint="eastAsia"/>
              </w:rPr>
              <w:t>紀俊臣，</w:t>
            </w:r>
            <w:r>
              <w:t>1999</w:t>
            </w:r>
            <w:r>
              <w:rPr>
                <w:rFonts w:cs="新細明體" w:hint="eastAsia"/>
              </w:rPr>
              <w:t>，《精省與新地方制度－始末、設計、發展系論》，台北：時英出版社。</w:t>
            </w:r>
          </w:p>
          <w:p w:rsidR="00A211EB" w:rsidRDefault="00A211EB" w:rsidP="00647A71">
            <w:pPr>
              <w:jc w:val="both"/>
            </w:pPr>
            <w:r>
              <w:rPr>
                <w:rFonts w:cs="新細明體" w:hint="eastAsia"/>
              </w:rPr>
              <w:t>胡佛，</w:t>
            </w:r>
            <w:r>
              <w:t>1998</w:t>
            </w:r>
            <w:r>
              <w:rPr>
                <w:rFonts w:cs="新細明體" w:hint="eastAsia"/>
              </w:rPr>
              <w:t>，《政治學的科學探究（四）：政治變遷與民主化》，台北：三民書</w:t>
            </w:r>
          </w:p>
          <w:p w:rsidR="00A211EB" w:rsidRDefault="00A211EB" w:rsidP="00647A71">
            <w:pPr>
              <w:ind w:firstLine="480"/>
              <w:jc w:val="both"/>
            </w:pPr>
            <w:r>
              <w:rPr>
                <w:rFonts w:cs="新細明體" w:hint="eastAsia"/>
              </w:rPr>
              <w:t>局。</w:t>
            </w:r>
          </w:p>
          <w:p w:rsidR="00A211EB" w:rsidRDefault="00A211EB" w:rsidP="00647A71">
            <w:pPr>
              <w:jc w:val="both"/>
            </w:pPr>
            <w:r>
              <w:rPr>
                <w:rFonts w:cs="新細明體" w:hint="eastAsia"/>
              </w:rPr>
              <w:t>胡佛，</w:t>
            </w:r>
            <w:r>
              <w:t>1998</w:t>
            </w:r>
            <w:r>
              <w:rPr>
                <w:rFonts w:cs="新細明體" w:hint="eastAsia"/>
              </w:rPr>
              <w:t>，《政治學的科學探究（五）：憲政結構與政府體制》，台北：三民</w:t>
            </w:r>
          </w:p>
          <w:p w:rsidR="00A211EB" w:rsidRDefault="00A211EB" w:rsidP="00647A71">
            <w:pPr>
              <w:ind w:firstLine="480"/>
              <w:jc w:val="both"/>
            </w:pPr>
            <w:r>
              <w:rPr>
                <w:rFonts w:cs="新細明體" w:hint="eastAsia"/>
              </w:rPr>
              <w:t>書局。</w:t>
            </w:r>
          </w:p>
          <w:p w:rsidR="00A211EB" w:rsidRDefault="00A211EB" w:rsidP="00A211EB">
            <w:pPr>
              <w:ind w:left="31680" w:hangingChars="200" w:firstLine="31680"/>
              <w:jc w:val="both"/>
            </w:pPr>
            <w:r>
              <w:rPr>
                <w:rFonts w:cs="新細明體" w:hint="eastAsia"/>
              </w:rPr>
              <w:t>許宗力，</w:t>
            </w:r>
            <w:r>
              <w:t>1999</w:t>
            </w:r>
            <w:r>
              <w:rPr>
                <w:rFonts w:cs="新細明體" w:hint="eastAsia"/>
              </w:rPr>
              <w:t>，〈憲法與公民投票－公投的合憲性分析與公投法的建制〉，《憲法與法治國行政》，台北：元照出版社。</w:t>
            </w:r>
          </w:p>
          <w:p w:rsidR="00A211EB" w:rsidRDefault="00A211EB" w:rsidP="00647A71">
            <w:pPr>
              <w:jc w:val="both"/>
            </w:pPr>
            <w:r>
              <w:rPr>
                <w:rFonts w:cs="新細明體" w:hint="eastAsia"/>
              </w:rPr>
              <w:t>許志雄等，</w:t>
            </w:r>
            <w:r>
              <w:t>1999</w:t>
            </w:r>
            <w:r>
              <w:rPr>
                <w:rFonts w:cs="新細明體" w:hint="eastAsia"/>
              </w:rPr>
              <w:t>，《現代憲法論》，台北：元照出版公司。</w:t>
            </w:r>
          </w:p>
          <w:p w:rsidR="00A211EB" w:rsidRDefault="00A211EB" w:rsidP="00647A71">
            <w:pPr>
              <w:jc w:val="both"/>
            </w:pPr>
            <w:r>
              <w:rPr>
                <w:rFonts w:cs="新細明體" w:hint="eastAsia"/>
              </w:rPr>
              <w:t>陳新民，</w:t>
            </w:r>
            <w:r>
              <w:t>1999</w:t>
            </w:r>
            <w:r>
              <w:rPr>
                <w:rFonts w:cs="新細明體" w:hint="eastAsia"/>
              </w:rPr>
              <w:t>，《憲法學導論》，台北：著者發行。</w:t>
            </w:r>
          </w:p>
          <w:p w:rsidR="00A211EB" w:rsidRDefault="00A211EB" w:rsidP="00647A71">
            <w:pPr>
              <w:widowControl/>
              <w:autoSpaceDE w:val="0"/>
              <w:autoSpaceDN w:val="0"/>
              <w:spacing w:line="200" w:lineRule="atLeast"/>
              <w:jc w:val="both"/>
              <w:textAlignment w:val="bottom"/>
            </w:pPr>
            <w:r>
              <w:rPr>
                <w:rFonts w:cs="新細明體" w:hint="eastAsia"/>
              </w:rPr>
              <w:t>陳鴻瑜，</w:t>
            </w:r>
            <w:r>
              <w:t>1998</w:t>
            </w:r>
            <w:r>
              <w:rPr>
                <w:rFonts w:cs="新細明體" w:hint="eastAsia"/>
              </w:rPr>
              <w:t>，《政治發展理論》，臺北：臺灣書局。</w:t>
            </w:r>
          </w:p>
          <w:p w:rsidR="00A211EB" w:rsidRDefault="00A211EB" w:rsidP="00A211EB">
            <w:pPr>
              <w:spacing w:line="360" w:lineRule="atLeast"/>
              <w:ind w:left="31680" w:hangingChars="300" w:firstLine="31680"/>
              <w:jc w:val="both"/>
            </w:pPr>
            <w:r>
              <w:rPr>
                <w:rFonts w:cs="新細明體" w:hint="eastAsia"/>
              </w:rPr>
              <w:t>曾建元，</w:t>
            </w:r>
            <w:r>
              <w:t>2002</w:t>
            </w:r>
            <w:r>
              <w:rPr>
                <w:rFonts w:cs="新細明體" w:hint="eastAsia"/>
              </w:rPr>
              <w:t>，《一九九零年代臺灣憲政改革之研究──民族主義與民主轉型</w:t>
            </w:r>
          </w:p>
          <w:p w:rsidR="00A211EB" w:rsidRDefault="00A211EB" w:rsidP="00A211EB">
            <w:pPr>
              <w:spacing w:line="360" w:lineRule="atLeast"/>
              <w:ind w:leftChars="200" w:left="31680" w:hangingChars="100" w:firstLine="31680"/>
              <w:jc w:val="both"/>
            </w:pPr>
            <w:r>
              <w:rPr>
                <w:rFonts w:cs="新細明體" w:hint="eastAsia"/>
              </w:rPr>
              <w:t>的觀點》，臺北：國立臺灣大學國家發展研究所。</w:t>
            </w:r>
          </w:p>
          <w:p w:rsidR="00A211EB" w:rsidRPr="00E9778E" w:rsidRDefault="00A211EB" w:rsidP="00647A71">
            <w:pPr>
              <w:widowControl/>
              <w:autoSpaceDE w:val="0"/>
              <w:autoSpaceDN w:val="0"/>
              <w:spacing w:line="200" w:lineRule="atLeast"/>
              <w:jc w:val="both"/>
              <w:textAlignment w:val="bottom"/>
              <w:rPr>
                <w:rFonts w:eastAsia="細明體"/>
                <w:color w:val="000000"/>
              </w:rPr>
            </w:pPr>
            <w:r>
              <w:rPr>
                <w:rFonts w:cs="新細明體" w:hint="eastAsia"/>
              </w:rPr>
              <w:t>曾建元，</w:t>
            </w:r>
            <w:r>
              <w:t>2012</w:t>
            </w:r>
            <w:r>
              <w:rPr>
                <w:rFonts w:cs="新細明體" w:hint="eastAsia"/>
              </w:rPr>
              <w:t>，</w:t>
            </w:r>
            <w:r w:rsidRPr="00E9778E">
              <w:rPr>
                <w:rFonts w:eastAsia="細明體" w:cs="細明體" w:hint="eastAsia"/>
                <w:color w:val="000000"/>
              </w:rPr>
              <w:t>〈中華民國歷次修憲模式之研究〉，《中國史研究》，</w:t>
            </w:r>
            <w:r w:rsidRPr="00E9778E">
              <w:rPr>
                <w:rStyle w:val="st1"/>
                <w:rFonts w:eastAsia="細明體" w:cs="細明體" w:hint="eastAsia"/>
                <w:color w:val="000000"/>
              </w:rPr>
              <w:t>第六十七輯，大邱：</w:t>
            </w:r>
            <w:r w:rsidRPr="00E9778E">
              <w:rPr>
                <w:rStyle w:val="Emphasis"/>
                <w:rFonts w:eastAsia="細明體" w:cs="細明體" w:hint="eastAsia"/>
                <w:color w:val="000000"/>
              </w:rPr>
              <w:t>韓國</w:t>
            </w:r>
            <w:r w:rsidRPr="00E9778E">
              <w:rPr>
                <w:rStyle w:val="st1"/>
                <w:rFonts w:eastAsia="細明體" w:cs="細明體" w:hint="eastAsia"/>
                <w:color w:val="000000"/>
              </w:rPr>
              <w:t>中國史學會，</w:t>
            </w:r>
            <w:r w:rsidRPr="00E9778E">
              <w:rPr>
                <w:rFonts w:eastAsia="細明體" w:cs="細明體" w:hint="eastAsia"/>
                <w:color w:val="000000"/>
              </w:rPr>
              <w:t>二零一二年二月。</w:t>
            </w:r>
          </w:p>
          <w:p w:rsidR="00A211EB" w:rsidRPr="00E9778E" w:rsidRDefault="00A211EB" w:rsidP="00A211EB">
            <w:pPr>
              <w:ind w:left="31680" w:hangingChars="200" w:firstLine="31680"/>
              <w:jc w:val="both"/>
              <w:rPr>
                <w:rFonts w:eastAsia="細明體"/>
                <w:color w:val="000000"/>
              </w:rPr>
            </w:pPr>
            <w:r w:rsidRPr="00E9778E">
              <w:rPr>
                <w:rFonts w:eastAsia="細明體" w:cs="細明體" w:hint="eastAsia"/>
                <w:color w:val="000000"/>
              </w:rPr>
              <w:t>曾建元，</w:t>
            </w:r>
            <w:r w:rsidRPr="00E9778E">
              <w:rPr>
                <w:rFonts w:eastAsia="細明體"/>
                <w:color w:val="000000"/>
              </w:rPr>
              <w:t>2012</w:t>
            </w:r>
            <w:r w:rsidRPr="00E9778E">
              <w:rPr>
                <w:rFonts w:eastAsia="細明體" w:cs="細明體" w:hint="eastAsia"/>
                <w:color w:val="000000"/>
              </w:rPr>
              <w:t>，〈臺灣公民投票制度及其願景〉，《中華行政學報》，第十期，新竹：中華大學行政管理學系，民國一百零一年六月一日。</w:t>
            </w:r>
          </w:p>
          <w:p w:rsidR="00A211EB" w:rsidRDefault="00A211EB" w:rsidP="00A211EB">
            <w:pPr>
              <w:ind w:left="31680" w:hangingChars="200" w:firstLine="31680"/>
              <w:jc w:val="both"/>
            </w:pPr>
            <w:r>
              <w:rPr>
                <w:rFonts w:cs="新細明體" w:hint="eastAsia"/>
              </w:rPr>
              <w:t>黃昭堂著，廖為智譯，</w:t>
            </w:r>
            <w:r>
              <w:t>2006</w:t>
            </w:r>
            <w:r>
              <w:rPr>
                <w:rFonts w:cs="新細明體" w:hint="eastAsia"/>
              </w:rPr>
              <w:t>，《臺灣民主國之研究》，臺北：前衛出版社。</w:t>
            </w:r>
          </w:p>
          <w:p w:rsidR="00A211EB" w:rsidRDefault="00A211EB" w:rsidP="00A211EB">
            <w:pPr>
              <w:ind w:left="31680" w:hangingChars="200" w:firstLine="31680"/>
              <w:jc w:val="both"/>
            </w:pPr>
            <w:r>
              <w:rPr>
                <w:rFonts w:cs="新細明體" w:hint="eastAsia"/>
              </w:rPr>
              <w:t>葛永光，</w:t>
            </w:r>
            <w:r>
              <w:t>1989</w:t>
            </w:r>
            <w:r>
              <w:rPr>
                <w:rFonts w:cs="新細明體" w:hint="eastAsia"/>
              </w:rPr>
              <w:t>，《政治變遷與發展──臺灣經驗的探索》，臺北：幼獅文化事業公司。</w:t>
            </w:r>
          </w:p>
          <w:p w:rsidR="00A211EB" w:rsidRDefault="00A211EB" w:rsidP="00647A71">
            <w:pPr>
              <w:widowControl/>
              <w:autoSpaceDE w:val="0"/>
              <w:autoSpaceDN w:val="0"/>
              <w:spacing w:line="200" w:lineRule="atLeast"/>
              <w:jc w:val="both"/>
              <w:textAlignment w:val="bottom"/>
            </w:pPr>
            <w:r>
              <w:rPr>
                <w:rFonts w:cs="新細明體" w:hint="eastAsia"/>
              </w:rPr>
              <w:t>彭錦鵬，</w:t>
            </w:r>
            <w:r>
              <w:t>1980</w:t>
            </w:r>
            <w:r>
              <w:rPr>
                <w:rFonts w:cs="新細明體" w:hint="eastAsia"/>
              </w:rPr>
              <w:t>，〈韓廷頓政治發展理論〉，臺北：國立臺灣大學政治學研究所，碩士論文。</w:t>
            </w:r>
          </w:p>
          <w:p w:rsidR="00A211EB" w:rsidRDefault="00A211EB" w:rsidP="00647A71">
            <w:pPr>
              <w:jc w:val="both"/>
            </w:pPr>
            <w:r>
              <w:rPr>
                <w:rFonts w:cs="新細明體" w:hint="eastAsia"/>
              </w:rPr>
              <w:t>湯德宗，</w:t>
            </w:r>
            <w:r>
              <w:t>1998</w:t>
            </w:r>
            <w:r>
              <w:rPr>
                <w:rFonts w:cs="新細明體" w:hint="eastAsia"/>
              </w:rPr>
              <w:t>，《權力分立新論》，台北：著者發行。</w:t>
            </w:r>
          </w:p>
          <w:p w:rsidR="00A211EB" w:rsidRDefault="00A211EB" w:rsidP="00A211EB">
            <w:pPr>
              <w:ind w:left="31680" w:hangingChars="200" w:firstLine="31680"/>
              <w:jc w:val="both"/>
            </w:pPr>
            <w:r>
              <w:rPr>
                <w:rFonts w:cs="新細明體" w:hint="eastAsia"/>
              </w:rPr>
              <w:t>蔡季廷，</w:t>
            </w:r>
            <w:r>
              <w:t>1992</w:t>
            </w:r>
            <w:r>
              <w:rPr>
                <w:rFonts w:cs="新細明體" w:hint="eastAsia"/>
              </w:rPr>
              <w:t>，〈論台灣公民投票之法制化問題－以</w:t>
            </w:r>
            <w:r>
              <w:t>R</w:t>
            </w:r>
            <w:r w:rsidRPr="00E9778E">
              <w:rPr>
                <w:rFonts w:eastAsia="AR MinchoL JIS"/>
              </w:rPr>
              <w:t>obert Dhal</w:t>
            </w:r>
            <w:r>
              <w:rPr>
                <w:rFonts w:cs="新細明體" w:hint="eastAsia"/>
              </w:rPr>
              <w:t>民主程序標準為中心〉，台北：國立臺灣大學三民主義研究所碩士論文。</w:t>
            </w:r>
          </w:p>
          <w:p w:rsidR="00A211EB" w:rsidRDefault="00A211EB" w:rsidP="00647A71">
            <w:pPr>
              <w:widowControl/>
              <w:autoSpaceDE w:val="0"/>
              <w:autoSpaceDN w:val="0"/>
              <w:spacing w:line="200" w:lineRule="atLeast"/>
              <w:jc w:val="both"/>
              <w:textAlignment w:val="bottom"/>
            </w:pPr>
            <w:r>
              <w:rPr>
                <w:rFonts w:cs="新細明體" w:hint="eastAsia"/>
              </w:rPr>
              <w:t>葉俊榮，</w:t>
            </w:r>
            <w:r>
              <w:t>2003</w:t>
            </w:r>
            <w:r>
              <w:rPr>
                <w:rFonts w:cs="新細明體" w:hint="eastAsia"/>
              </w:rPr>
              <w:t>，《民主轉型與憲法變遷》，台北：元照出版公司。</w:t>
            </w:r>
          </w:p>
          <w:p w:rsidR="00A211EB" w:rsidRDefault="00A211EB" w:rsidP="00647A71">
            <w:pPr>
              <w:jc w:val="both"/>
            </w:pPr>
            <w:r>
              <w:rPr>
                <w:rFonts w:cs="新細明體" w:hint="eastAsia"/>
              </w:rPr>
              <w:t>趙永茂，</w:t>
            </w:r>
            <w:r>
              <w:t>2002</w:t>
            </w:r>
            <w:r>
              <w:rPr>
                <w:rFonts w:cs="新細明體" w:hint="eastAsia"/>
              </w:rPr>
              <w:t>，《中央與地方權限劃分的理論與實際－兼論台灣地方政府的變革方向》，台北：翰蘆圖書公司。</w:t>
            </w:r>
          </w:p>
          <w:p w:rsidR="00A211EB" w:rsidRDefault="00A211EB" w:rsidP="00A211EB">
            <w:pPr>
              <w:ind w:left="31680" w:hangingChars="200" w:firstLine="31680"/>
              <w:jc w:val="both"/>
            </w:pPr>
            <w:r>
              <w:rPr>
                <w:rFonts w:cs="新細明體" w:hint="eastAsia"/>
              </w:rPr>
              <w:t>趙永茂，</w:t>
            </w:r>
            <w:r>
              <w:t>2002</w:t>
            </w:r>
            <w:r>
              <w:rPr>
                <w:rFonts w:cs="新細明體" w:hint="eastAsia"/>
              </w:rPr>
              <w:t>，《台灣地方政治的變遷與特質》，台北：翰蘆圖書公司。</w:t>
            </w:r>
          </w:p>
          <w:p w:rsidR="00A211EB" w:rsidRDefault="00A211EB" w:rsidP="00647A71">
            <w:pPr>
              <w:jc w:val="both"/>
            </w:pPr>
            <w:r>
              <w:rPr>
                <w:rFonts w:cs="新細明體" w:hint="eastAsia"/>
              </w:rPr>
              <w:t>羅志淵，</w:t>
            </w:r>
            <w:r>
              <w:t>1967</w:t>
            </w:r>
            <w:r>
              <w:rPr>
                <w:rFonts w:cs="新細明體" w:hint="eastAsia"/>
              </w:rPr>
              <w:t>，《中國憲法史》，台北：臺灣商務印書館。</w:t>
            </w:r>
          </w:p>
          <w:p w:rsidR="00A211EB" w:rsidRDefault="00A211EB" w:rsidP="00A211EB">
            <w:pPr>
              <w:ind w:left="31680" w:hangingChars="200" w:firstLine="31680"/>
              <w:jc w:val="both"/>
            </w:pPr>
            <w:r w:rsidRPr="00E9778E">
              <w:rPr>
                <w:rFonts w:eastAsia="AR MinchoL JIS"/>
                <w:lang w:eastAsia="ja-JP"/>
              </w:rPr>
              <w:t>David Butler&amp; Austin Ranney</w:t>
            </w:r>
            <w:r>
              <w:rPr>
                <w:rFonts w:cs="新細明體" w:hint="eastAsia"/>
              </w:rPr>
              <w:t>，吳宜容譯，</w:t>
            </w:r>
            <w:r>
              <w:t>2002</w:t>
            </w:r>
            <w:r>
              <w:rPr>
                <w:rFonts w:cs="新細明體" w:hint="eastAsia"/>
              </w:rPr>
              <w:t>，《公民投票的理論與實踐》，永和：韋伯文化事業出版社。</w:t>
            </w:r>
          </w:p>
          <w:p w:rsidR="00A211EB" w:rsidRDefault="00A211EB" w:rsidP="00A211EB">
            <w:pPr>
              <w:ind w:left="31680" w:hangingChars="200" w:firstLine="31680"/>
              <w:jc w:val="both"/>
            </w:pPr>
            <w:r>
              <w:t>G</w:t>
            </w:r>
            <w:r w:rsidRPr="00E9778E">
              <w:rPr>
                <w:rFonts w:eastAsia="AR MinchoL JIS"/>
              </w:rPr>
              <w:t>eorg Sorensen</w:t>
            </w:r>
            <w:r>
              <w:rPr>
                <w:rFonts w:cs="新細明體" w:hint="eastAsia"/>
              </w:rPr>
              <w:t>著，李酉潭、陳志瑋譯，黃德福主譯，</w:t>
            </w:r>
            <w:r>
              <w:t>1998</w:t>
            </w:r>
            <w:r>
              <w:rPr>
                <w:rFonts w:cs="新細明體" w:hint="eastAsia"/>
              </w:rPr>
              <w:t>，《民主與民主化》，永和：韋伯文化事業出版社。</w:t>
            </w:r>
          </w:p>
          <w:p w:rsidR="00A211EB" w:rsidRDefault="00A211EB" w:rsidP="00647A71">
            <w:pPr>
              <w:jc w:val="both"/>
            </w:pPr>
            <w:r>
              <w:t xml:space="preserve">Binder, Leonard, James S. Coleman, Joseph Lapalombara, Lucian W.Pye, Sidney </w:t>
            </w:r>
          </w:p>
          <w:p w:rsidR="00A211EB" w:rsidRPr="00E9778E" w:rsidRDefault="00A211EB" w:rsidP="00647A71">
            <w:pPr>
              <w:widowControl/>
              <w:autoSpaceDE w:val="0"/>
              <w:autoSpaceDN w:val="0"/>
              <w:spacing w:line="200" w:lineRule="atLeast"/>
              <w:jc w:val="both"/>
              <w:textAlignment w:val="bottom"/>
              <w:rPr>
                <w:i/>
                <w:iCs/>
              </w:rPr>
            </w:pPr>
            <w:r>
              <w:t>Verba, and Myron Weiner.1971.</w:t>
            </w:r>
            <w:r w:rsidRPr="00E9778E">
              <w:rPr>
                <w:i/>
                <w:iCs/>
              </w:rPr>
              <w:t>Crises and Sequences in Political Development.</w:t>
            </w:r>
          </w:p>
          <w:p w:rsidR="00A211EB" w:rsidRDefault="00A211EB" w:rsidP="00647A71">
            <w:pPr>
              <w:ind w:left="480"/>
              <w:jc w:val="both"/>
            </w:pPr>
            <w:r>
              <w:t>Princeton, Princeton: Princeton University Press.</w:t>
            </w:r>
          </w:p>
          <w:p w:rsidR="00A211EB" w:rsidRPr="00E9778E" w:rsidRDefault="00A211EB" w:rsidP="00647A71">
            <w:pPr>
              <w:jc w:val="both"/>
              <w:rPr>
                <w:i/>
                <w:iCs/>
              </w:rPr>
            </w:pPr>
            <w:r>
              <w:t>Pye, Lucian W. and Sidney Verba (eds.).1965.</w:t>
            </w:r>
            <w:r w:rsidRPr="00E9778E">
              <w:rPr>
                <w:i/>
                <w:iCs/>
              </w:rPr>
              <w:t xml:space="preserve">Political Culture and Political </w:t>
            </w:r>
          </w:p>
          <w:p w:rsidR="00A211EB" w:rsidRDefault="00A211EB" w:rsidP="00647A71">
            <w:pPr>
              <w:ind w:firstLine="480"/>
              <w:jc w:val="both"/>
            </w:pPr>
            <w:r w:rsidRPr="00E9778E">
              <w:rPr>
                <w:i/>
                <w:iCs/>
              </w:rPr>
              <w:t>Development</w:t>
            </w:r>
            <w:r>
              <w:t>. Princeton: Princeton University Press.</w:t>
            </w:r>
          </w:p>
          <w:p w:rsidR="00A211EB" w:rsidRDefault="00A211EB" w:rsidP="00647A71">
            <w:pPr>
              <w:jc w:val="both"/>
            </w:pPr>
            <w:r>
              <w:t>Pye, Lucian W. 1966.</w:t>
            </w:r>
            <w:r w:rsidRPr="00E9778E">
              <w:rPr>
                <w:i/>
                <w:iCs/>
              </w:rPr>
              <w:t>Aspects of Political Development</w:t>
            </w:r>
            <w:r>
              <w:t xml:space="preserve">. Boston: Little.Brown and </w:t>
            </w:r>
          </w:p>
          <w:p w:rsidR="00A211EB" w:rsidRPr="00EB455B" w:rsidRDefault="00A211EB" w:rsidP="00647A71">
            <w:pPr>
              <w:ind w:firstLine="480"/>
              <w:jc w:val="both"/>
            </w:pPr>
            <w:r>
              <w:t>Company.</w:t>
            </w:r>
          </w:p>
        </w:tc>
      </w:tr>
      <w:tr w:rsidR="00A211EB" w:rsidTr="00647A71">
        <w:tc>
          <w:tcPr>
            <w:tcW w:w="1188" w:type="dxa"/>
            <w:vMerge w:val="restart"/>
          </w:tcPr>
          <w:p w:rsidR="00A211EB" w:rsidRPr="00E9778E" w:rsidRDefault="00A211EB" w:rsidP="00E9778E">
            <w:pPr>
              <w:rPr>
                <w:sz w:val="26"/>
                <w:szCs w:val="26"/>
              </w:rPr>
            </w:pPr>
            <w:r w:rsidRPr="00E9778E">
              <w:rPr>
                <w:rFonts w:cs="新細明體" w:hint="eastAsia"/>
                <w:sz w:val="26"/>
                <w:szCs w:val="26"/>
              </w:rPr>
              <w:t>評量方式</w:t>
            </w:r>
          </w:p>
        </w:tc>
        <w:tc>
          <w:tcPr>
            <w:tcW w:w="1039" w:type="dxa"/>
            <w:gridSpan w:val="2"/>
            <w:shd w:val="clear" w:color="auto" w:fill="D9D9D9"/>
          </w:tcPr>
          <w:p w:rsidR="00A211EB" w:rsidRPr="00970778" w:rsidRDefault="00A211EB" w:rsidP="00E9778E">
            <w:r w:rsidRPr="00970778">
              <w:t>No.</w:t>
            </w:r>
          </w:p>
        </w:tc>
        <w:tc>
          <w:tcPr>
            <w:tcW w:w="2378" w:type="dxa"/>
            <w:gridSpan w:val="3"/>
            <w:shd w:val="clear" w:color="auto" w:fill="D9D9D9"/>
          </w:tcPr>
          <w:p w:rsidR="00A211EB" w:rsidRPr="00970778" w:rsidRDefault="00A211EB" w:rsidP="00A211EB">
            <w:pPr>
              <w:ind w:firstLineChars="400" w:firstLine="31680"/>
            </w:pPr>
            <w:r w:rsidRPr="00970778">
              <w:rPr>
                <w:rFonts w:cs="新細明體" w:hint="eastAsia"/>
              </w:rPr>
              <w:t>項目</w:t>
            </w:r>
          </w:p>
        </w:tc>
        <w:tc>
          <w:tcPr>
            <w:tcW w:w="1443" w:type="dxa"/>
            <w:gridSpan w:val="2"/>
            <w:shd w:val="clear" w:color="auto" w:fill="D9D9D9"/>
          </w:tcPr>
          <w:p w:rsidR="00A211EB" w:rsidRPr="00970778" w:rsidRDefault="00A211EB" w:rsidP="00E9778E">
            <w:pPr>
              <w:jc w:val="center"/>
            </w:pPr>
            <w:r w:rsidRPr="00970778">
              <w:rPr>
                <w:rFonts w:cs="新細明體" w:hint="eastAsia"/>
              </w:rPr>
              <w:t>百分比</w:t>
            </w:r>
            <w:r w:rsidRPr="00970778">
              <w:t>(%)</w:t>
            </w:r>
          </w:p>
        </w:tc>
        <w:tc>
          <w:tcPr>
            <w:tcW w:w="3960" w:type="dxa"/>
            <w:gridSpan w:val="2"/>
            <w:shd w:val="clear" w:color="auto" w:fill="D9D9D9"/>
          </w:tcPr>
          <w:p w:rsidR="00A211EB" w:rsidRPr="00970778" w:rsidRDefault="00A211EB" w:rsidP="00E9778E">
            <w:r w:rsidRPr="00970778">
              <w:rPr>
                <w:rFonts w:cs="新細明體" w:hint="eastAsia"/>
              </w:rPr>
              <w:t>說明</w:t>
            </w:r>
          </w:p>
        </w:tc>
      </w:tr>
      <w:tr w:rsidR="00A211EB" w:rsidTr="00647A71">
        <w:tc>
          <w:tcPr>
            <w:tcW w:w="1188" w:type="dxa"/>
            <w:vMerge/>
          </w:tcPr>
          <w:p w:rsidR="00A211EB" w:rsidRDefault="00A211EB" w:rsidP="00E9778E"/>
        </w:tc>
        <w:tc>
          <w:tcPr>
            <w:tcW w:w="1039" w:type="dxa"/>
            <w:gridSpan w:val="2"/>
            <w:vAlign w:val="center"/>
          </w:tcPr>
          <w:p w:rsidR="00A211EB" w:rsidRDefault="00A211EB" w:rsidP="00E9778E">
            <w:pPr>
              <w:jc w:val="both"/>
            </w:pPr>
            <w:r>
              <w:t>1</w:t>
            </w:r>
          </w:p>
        </w:tc>
        <w:tc>
          <w:tcPr>
            <w:tcW w:w="2378" w:type="dxa"/>
            <w:gridSpan w:val="3"/>
            <w:vAlign w:val="center"/>
          </w:tcPr>
          <w:p w:rsidR="00A211EB" w:rsidRDefault="00A211EB" w:rsidP="00E9778E">
            <w:pPr>
              <w:jc w:val="both"/>
            </w:pPr>
            <w:r>
              <w:rPr>
                <w:rFonts w:cs="新細明體" w:hint="eastAsia"/>
              </w:rPr>
              <w:t>平時表現成績</w:t>
            </w:r>
            <w:r>
              <w:t>:</w:t>
            </w:r>
          </w:p>
        </w:tc>
        <w:tc>
          <w:tcPr>
            <w:tcW w:w="1443" w:type="dxa"/>
            <w:gridSpan w:val="2"/>
            <w:vAlign w:val="center"/>
          </w:tcPr>
          <w:p w:rsidR="00A211EB" w:rsidRDefault="00A211EB" w:rsidP="00E9778E">
            <w:pPr>
              <w:jc w:val="both"/>
            </w:pPr>
            <w:r>
              <w:t>30</w:t>
            </w:r>
          </w:p>
        </w:tc>
        <w:tc>
          <w:tcPr>
            <w:tcW w:w="3960" w:type="dxa"/>
            <w:gridSpan w:val="2"/>
          </w:tcPr>
          <w:p w:rsidR="00A211EB" w:rsidRDefault="00A211EB" w:rsidP="00E9778E">
            <w:pPr>
              <w:spacing w:line="440" w:lineRule="exact"/>
              <w:jc w:val="both"/>
            </w:pPr>
            <w:r>
              <w:rPr>
                <w:rFonts w:cs="新細明體" w:hint="eastAsia"/>
              </w:rPr>
              <w:t>上課出席、討論情況、作業等。</w:t>
            </w:r>
          </w:p>
        </w:tc>
      </w:tr>
      <w:tr w:rsidR="00A211EB" w:rsidTr="00647A71">
        <w:tc>
          <w:tcPr>
            <w:tcW w:w="1188" w:type="dxa"/>
            <w:vMerge/>
          </w:tcPr>
          <w:p w:rsidR="00A211EB" w:rsidRDefault="00A211EB" w:rsidP="00E9778E"/>
        </w:tc>
        <w:tc>
          <w:tcPr>
            <w:tcW w:w="1039" w:type="dxa"/>
            <w:gridSpan w:val="2"/>
            <w:vAlign w:val="center"/>
          </w:tcPr>
          <w:p w:rsidR="00A211EB" w:rsidRDefault="00A211EB" w:rsidP="00E9778E">
            <w:pPr>
              <w:jc w:val="both"/>
            </w:pPr>
            <w:r>
              <w:t>2</w:t>
            </w:r>
          </w:p>
        </w:tc>
        <w:tc>
          <w:tcPr>
            <w:tcW w:w="2378" w:type="dxa"/>
            <w:gridSpan w:val="3"/>
            <w:vAlign w:val="center"/>
          </w:tcPr>
          <w:p w:rsidR="00A211EB" w:rsidRDefault="00A211EB" w:rsidP="00E9778E">
            <w:pPr>
              <w:jc w:val="both"/>
            </w:pPr>
            <w:r>
              <w:rPr>
                <w:rFonts w:cs="新細明體" w:hint="eastAsia"/>
              </w:rPr>
              <w:t>期中考成績</w:t>
            </w:r>
            <w:r>
              <w:t>:</w:t>
            </w:r>
          </w:p>
        </w:tc>
        <w:tc>
          <w:tcPr>
            <w:tcW w:w="1443" w:type="dxa"/>
            <w:gridSpan w:val="2"/>
            <w:vAlign w:val="center"/>
          </w:tcPr>
          <w:p w:rsidR="00A211EB" w:rsidRDefault="00A211EB" w:rsidP="00E9778E">
            <w:pPr>
              <w:jc w:val="both"/>
            </w:pPr>
            <w:r>
              <w:t>30</w:t>
            </w:r>
          </w:p>
        </w:tc>
        <w:tc>
          <w:tcPr>
            <w:tcW w:w="3960" w:type="dxa"/>
            <w:gridSpan w:val="2"/>
          </w:tcPr>
          <w:p w:rsidR="00A211EB" w:rsidRDefault="00A211EB" w:rsidP="00E9778E">
            <w:pPr>
              <w:spacing w:line="440" w:lineRule="exact"/>
              <w:jc w:val="both"/>
            </w:pPr>
            <w:r>
              <w:rPr>
                <w:rFonts w:cs="新細明體" w:hint="eastAsia"/>
              </w:rPr>
              <w:t>《研究報告計畫書》（期中研究報告）乙份和口頭報告之表現。</w:t>
            </w:r>
          </w:p>
        </w:tc>
      </w:tr>
      <w:tr w:rsidR="00A211EB" w:rsidTr="00647A71">
        <w:tc>
          <w:tcPr>
            <w:tcW w:w="1188" w:type="dxa"/>
            <w:vMerge/>
          </w:tcPr>
          <w:p w:rsidR="00A211EB" w:rsidRDefault="00A211EB" w:rsidP="00E9778E"/>
        </w:tc>
        <w:tc>
          <w:tcPr>
            <w:tcW w:w="1039" w:type="dxa"/>
            <w:gridSpan w:val="2"/>
            <w:vAlign w:val="center"/>
          </w:tcPr>
          <w:p w:rsidR="00A211EB" w:rsidRDefault="00A211EB" w:rsidP="00E9778E">
            <w:pPr>
              <w:jc w:val="both"/>
            </w:pPr>
            <w:r>
              <w:t>3</w:t>
            </w:r>
          </w:p>
        </w:tc>
        <w:tc>
          <w:tcPr>
            <w:tcW w:w="2378" w:type="dxa"/>
            <w:gridSpan w:val="3"/>
            <w:vAlign w:val="center"/>
          </w:tcPr>
          <w:p w:rsidR="00A211EB" w:rsidRDefault="00A211EB" w:rsidP="00E9778E">
            <w:pPr>
              <w:jc w:val="both"/>
            </w:pPr>
            <w:r>
              <w:rPr>
                <w:rFonts w:cs="新細明體" w:hint="eastAsia"/>
              </w:rPr>
              <w:t>期末考成績</w:t>
            </w:r>
          </w:p>
        </w:tc>
        <w:tc>
          <w:tcPr>
            <w:tcW w:w="1443" w:type="dxa"/>
            <w:gridSpan w:val="2"/>
            <w:vAlign w:val="center"/>
          </w:tcPr>
          <w:p w:rsidR="00A211EB" w:rsidRDefault="00A211EB" w:rsidP="00E9778E">
            <w:pPr>
              <w:jc w:val="both"/>
            </w:pPr>
            <w:r>
              <w:t>40</w:t>
            </w:r>
          </w:p>
        </w:tc>
        <w:tc>
          <w:tcPr>
            <w:tcW w:w="3960" w:type="dxa"/>
            <w:gridSpan w:val="2"/>
          </w:tcPr>
          <w:p w:rsidR="00A211EB" w:rsidRDefault="00A211EB" w:rsidP="00E9778E">
            <w:pPr>
              <w:spacing w:line="440" w:lineRule="exact"/>
              <w:jc w:val="both"/>
            </w:pPr>
            <w:r>
              <w:rPr>
                <w:rFonts w:cs="新細明體" w:hint="eastAsia"/>
              </w:rPr>
              <w:t>《學期報告》（期末研究報告）乙份。</w:t>
            </w:r>
          </w:p>
        </w:tc>
      </w:tr>
      <w:tr w:rsidR="00A211EB" w:rsidTr="00647A71">
        <w:tc>
          <w:tcPr>
            <w:tcW w:w="1188" w:type="dxa"/>
            <w:shd w:val="clear" w:color="auto" w:fill="D9D9D9"/>
          </w:tcPr>
          <w:p w:rsidR="00A211EB" w:rsidRPr="00E9778E" w:rsidRDefault="00A211EB" w:rsidP="00E9778E">
            <w:pPr>
              <w:jc w:val="center"/>
              <w:rPr>
                <w:b/>
                <w:bCs/>
                <w:sz w:val="26"/>
                <w:szCs w:val="26"/>
              </w:rPr>
            </w:pPr>
            <w:r w:rsidRPr="00E9778E">
              <w:rPr>
                <w:rFonts w:cs="新細明體" w:hint="eastAsia"/>
                <w:b/>
                <w:bCs/>
                <w:sz w:val="26"/>
                <w:szCs w:val="26"/>
              </w:rPr>
              <w:t>週</w:t>
            </w:r>
            <w:r w:rsidRPr="00E9778E">
              <w:rPr>
                <w:b/>
                <w:bCs/>
                <w:sz w:val="26"/>
                <w:szCs w:val="26"/>
              </w:rPr>
              <w:t xml:space="preserve"> </w:t>
            </w:r>
            <w:r w:rsidRPr="00E9778E">
              <w:rPr>
                <w:rFonts w:cs="新細明體" w:hint="eastAsia"/>
                <w:b/>
                <w:bCs/>
                <w:sz w:val="26"/>
                <w:szCs w:val="26"/>
              </w:rPr>
              <w:t>次</w:t>
            </w:r>
          </w:p>
        </w:tc>
        <w:tc>
          <w:tcPr>
            <w:tcW w:w="8820" w:type="dxa"/>
            <w:gridSpan w:val="9"/>
            <w:shd w:val="clear" w:color="auto" w:fill="D9D9D9"/>
          </w:tcPr>
          <w:p w:rsidR="00A211EB" w:rsidRPr="00E9778E" w:rsidRDefault="00A211EB" w:rsidP="00E9778E">
            <w:pPr>
              <w:jc w:val="center"/>
              <w:rPr>
                <w:b/>
                <w:bCs/>
              </w:rPr>
            </w:pPr>
            <w:r w:rsidRPr="00E9778E">
              <w:rPr>
                <w:rFonts w:cs="新細明體" w:hint="eastAsia"/>
                <w:b/>
                <w:bCs/>
              </w:rPr>
              <w:t>單元主題</w:t>
            </w:r>
            <w:r w:rsidRPr="00E9778E">
              <w:rPr>
                <w:b/>
                <w:bCs/>
              </w:rPr>
              <w:t xml:space="preserve"> </w:t>
            </w:r>
          </w:p>
        </w:tc>
      </w:tr>
      <w:tr w:rsidR="00A211EB" w:rsidTr="00647A71">
        <w:trPr>
          <w:trHeight w:val="642"/>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1</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w:t>
            </w:r>
            <w:r w:rsidRPr="00E9778E">
              <w:rPr>
                <w:rFonts w:ascii="新細明體" w:hAnsi="新細明體" w:cs="新細明體" w:hint="eastAsia"/>
              </w:rPr>
              <w:t>題：</w:t>
            </w:r>
            <w:r w:rsidRPr="00E9778E">
              <w:rPr>
                <w:rFonts w:cs="新細明體" w:hint="eastAsia"/>
                <w:b/>
                <w:bCs/>
              </w:rPr>
              <w:t>課程簡介</w:t>
            </w:r>
            <w:r w:rsidRPr="00E9778E">
              <w:rPr>
                <w:b/>
                <w:bCs/>
              </w:rPr>
              <w:t>/</w:t>
            </w:r>
            <w:r w:rsidRPr="00E9778E">
              <w:rPr>
                <w:rFonts w:cs="新細明體" w:hint="eastAsia"/>
                <w:b/>
                <w:bCs/>
              </w:rPr>
              <w:t>如何寫好優質的「學期報告」</w:t>
            </w:r>
          </w:p>
          <w:p w:rsidR="00A211EB" w:rsidRDefault="00A211EB" w:rsidP="00E9778E">
            <w:r>
              <w:tab/>
              <w:t xml:space="preserve">  </w:t>
            </w:r>
            <w:r>
              <w:rPr>
                <w:rFonts w:cs="新細明體" w:hint="eastAsia"/>
              </w:rPr>
              <w:t>一、「憲法與政治發展」課程簡介</w:t>
            </w:r>
          </w:p>
          <w:p w:rsidR="00A211EB" w:rsidRDefault="00A211EB" w:rsidP="00E9778E">
            <w:r>
              <w:tab/>
              <w:t xml:space="preserve">  </w:t>
            </w:r>
            <w:r>
              <w:rPr>
                <w:rFonts w:cs="新細明體" w:hint="eastAsia"/>
              </w:rPr>
              <w:t>二、如何寫好優質的「學期報告」</w:t>
            </w:r>
          </w:p>
          <w:p w:rsidR="00A211EB" w:rsidRPr="0095371C" w:rsidRDefault="00A211EB" w:rsidP="00E9778E">
            <w:r>
              <w:rPr>
                <w:rFonts w:cs="新細明體" w:hint="eastAsia"/>
              </w:rPr>
              <w:t>教材：邱榮舉，</w:t>
            </w:r>
            <w:r>
              <w:t>2002</w:t>
            </w:r>
            <w:r>
              <w:rPr>
                <w:rFonts w:cs="新細明體" w:hint="eastAsia"/>
              </w:rPr>
              <w:t>，《學術論文寫作研究》，台北：翰蘆圖書公司。</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2</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主題：</w:t>
            </w:r>
            <w:r w:rsidRPr="00E9778E">
              <w:rPr>
                <w:rFonts w:cs="新細明體" w:hint="eastAsia"/>
                <w:b/>
                <w:bCs/>
              </w:rPr>
              <w:t>緒論：關於憲法的基本認識</w:t>
            </w:r>
          </w:p>
          <w:p w:rsidR="00A211EB" w:rsidRDefault="00A211EB" w:rsidP="00A211EB">
            <w:pPr>
              <w:ind w:firstLineChars="300" w:firstLine="31680"/>
            </w:pPr>
            <w:r>
              <w:rPr>
                <w:rFonts w:cs="新細明體" w:hint="eastAsia"/>
              </w:rPr>
              <w:t>一、憲法與憲法學</w:t>
            </w:r>
            <w:r>
              <w:t>/</w:t>
            </w:r>
            <w:r>
              <w:rPr>
                <w:rFonts w:cs="新細明體" w:hint="eastAsia"/>
              </w:rPr>
              <w:t>憲法與政治學</w:t>
            </w:r>
          </w:p>
          <w:p w:rsidR="00A211EB" w:rsidRDefault="00A211EB" w:rsidP="00A211EB">
            <w:pPr>
              <w:ind w:firstLineChars="300" w:firstLine="31680"/>
            </w:pPr>
            <w:r>
              <w:rPr>
                <w:rFonts w:cs="新細明體" w:hint="eastAsia"/>
              </w:rPr>
              <w:t>二、憲法變遷的基本概念</w:t>
            </w:r>
            <w:r>
              <w:t>/</w:t>
            </w:r>
            <w:r>
              <w:rPr>
                <w:rFonts w:cs="新細明體" w:hint="eastAsia"/>
              </w:rPr>
              <w:t>憲法與國家發展</w:t>
            </w:r>
          </w:p>
          <w:p w:rsidR="00A211EB" w:rsidRDefault="00A211EB" w:rsidP="00A211EB">
            <w:pPr>
              <w:ind w:firstLineChars="300" w:firstLine="31680"/>
            </w:pPr>
            <w:r>
              <w:rPr>
                <w:rFonts w:cs="新細明體" w:hint="eastAsia"/>
              </w:rPr>
              <w:t>三、政治發展的基本概念</w:t>
            </w:r>
            <w:r>
              <w:t>/</w:t>
            </w:r>
            <w:r>
              <w:rPr>
                <w:rFonts w:cs="新細明體" w:hint="eastAsia"/>
              </w:rPr>
              <w:t>政治發展與國家發展</w:t>
            </w:r>
          </w:p>
          <w:p w:rsidR="00A211EB" w:rsidRDefault="00A211EB" w:rsidP="00A211EB">
            <w:pPr>
              <w:ind w:firstLineChars="300" w:firstLine="31680"/>
            </w:pPr>
            <w:r>
              <w:rPr>
                <w:rFonts w:cs="新細明體" w:hint="eastAsia"/>
              </w:rPr>
              <w:t>四、憲法與政治發展</w:t>
            </w:r>
          </w:p>
          <w:p w:rsidR="00A211EB" w:rsidRPr="00E9778E" w:rsidRDefault="00A211EB" w:rsidP="00E9778E">
            <w:pPr>
              <w:rPr>
                <w:rFonts w:ascii="新細明體"/>
              </w:rPr>
            </w:pPr>
            <w:r>
              <w:rPr>
                <w:rFonts w:cs="新細明體" w:hint="eastAsia"/>
              </w:rPr>
              <w:t>教材：</w:t>
            </w:r>
            <w:r w:rsidRPr="00E9778E">
              <w:rPr>
                <w:rFonts w:ascii="新細明體" w:cs="新細明體" w:hint="eastAsia"/>
              </w:rPr>
              <w:t>邱榮舉，</w:t>
            </w:r>
            <w:r w:rsidRPr="00E9778E">
              <w:rPr>
                <w:rFonts w:ascii="新細明體" w:cs="新細明體"/>
              </w:rPr>
              <w:t>2002</w:t>
            </w:r>
            <w:r w:rsidRPr="00E9778E">
              <w:rPr>
                <w:rFonts w:ascii="新細明體" w:cs="新細明體" w:hint="eastAsia"/>
              </w:rPr>
              <w:t>，〈孫中山與中國民主憲政發展〉，</w:t>
            </w:r>
            <w:r w:rsidRPr="00E9778E">
              <w:rPr>
                <w:rFonts w:ascii="新細明體" w:cs="新細明體"/>
              </w:rPr>
              <w:t>2002</w:t>
            </w:r>
            <w:r w:rsidRPr="00E9778E">
              <w:rPr>
                <w:rFonts w:ascii="新細明體" w:cs="新細明體" w:hint="eastAsia"/>
              </w:rPr>
              <w:t>東洋近代史與政治</w:t>
            </w:r>
          </w:p>
          <w:p w:rsidR="00A211EB" w:rsidRPr="00E9778E" w:rsidRDefault="00A211EB" w:rsidP="00A211EB">
            <w:pPr>
              <w:ind w:firstLineChars="300" w:firstLine="31680"/>
              <w:rPr>
                <w:rFonts w:ascii="新細明體"/>
              </w:rPr>
            </w:pPr>
            <w:r w:rsidRPr="00E9778E">
              <w:rPr>
                <w:rFonts w:ascii="新細明體" w:cs="新細明體" w:hint="eastAsia"/>
              </w:rPr>
              <w:t>領袖國際學術研討會，漢城：韓國東洋政治思想史學會主辦。</w:t>
            </w:r>
          </w:p>
          <w:p w:rsidR="00A211EB" w:rsidRDefault="00A211EB" w:rsidP="00A211EB">
            <w:pPr>
              <w:ind w:firstLineChars="300" w:firstLine="31680"/>
            </w:pPr>
            <w:r>
              <w:rPr>
                <w:rFonts w:cs="新細明體" w:hint="eastAsia"/>
              </w:rPr>
              <w:t>許志雄等，</w:t>
            </w:r>
            <w:r>
              <w:t>1999</w:t>
            </w:r>
            <w:r>
              <w:rPr>
                <w:rFonts w:cs="新細明體" w:hint="eastAsia"/>
              </w:rPr>
              <w:t>，《現代憲法論》，台北：元照出版公司，頁</w:t>
            </w:r>
            <w:r>
              <w:t>1-44</w:t>
            </w:r>
            <w:r>
              <w:rPr>
                <w:rStyle w:val="FootnoteReference"/>
              </w:rPr>
              <w:footnoteReference w:id="1"/>
            </w:r>
            <w:r>
              <w:rPr>
                <w:rFonts w:cs="新細明體" w:hint="eastAsia"/>
              </w:rPr>
              <w:t>。</w:t>
            </w:r>
          </w:p>
          <w:p w:rsidR="00A211EB" w:rsidRDefault="00A211EB" w:rsidP="00A211EB">
            <w:pPr>
              <w:ind w:firstLineChars="300" w:firstLine="31680"/>
            </w:pPr>
            <w:r>
              <w:rPr>
                <w:rFonts w:cs="新細明體" w:hint="eastAsia"/>
              </w:rPr>
              <w:t>呂亞力，</w:t>
            </w:r>
            <w:r>
              <w:t>1988</w:t>
            </w:r>
            <w:r>
              <w:rPr>
                <w:rFonts w:cs="新細明體" w:hint="eastAsia"/>
              </w:rPr>
              <w:t>，《政治發展與民主》，四版，台北：五南圖書出版公司。</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3</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主題：</w:t>
            </w:r>
            <w:r w:rsidRPr="00E9778E">
              <w:rPr>
                <w:rFonts w:cs="新細明體" w:hint="eastAsia"/>
                <w:b/>
                <w:bCs/>
              </w:rPr>
              <w:t>如何學習研究「臺灣憲法變遷與政治發展問題」</w:t>
            </w:r>
          </w:p>
          <w:p w:rsidR="00A211EB" w:rsidRDefault="00A211EB" w:rsidP="00E9778E">
            <w:pPr>
              <w:numPr>
                <w:ilvl w:val="0"/>
                <w:numId w:val="3"/>
              </w:numPr>
            </w:pPr>
            <w:r>
              <w:rPr>
                <w:rFonts w:cs="新細明體" w:hint="eastAsia"/>
              </w:rPr>
              <w:t>問題意識</w:t>
            </w:r>
            <w:r>
              <w:t>/</w:t>
            </w:r>
            <w:r>
              <w:rPr>
                <w:rFonts w:cs="新細明體" w:hint="eastAsia"/>
              </w:rPr>
              <w:t>問題陳述</w:t>
            </w:r>
          </w:p>
          <w:p w:rsidR="00A211EB" w:rsidRDefault="00A211EB" w:rsidP="00E9778E">
            <w:pPr>
              <w:numPr>
                <w:ilvl w:val="0"/>
                <w:numId w:val="3"/>
              </w:numPr>
            </w:pPr>
            <w:r>
              <w:rPr>
                <w:rFonts w:cs="新細明體" w:hint="eastAsia"/>
              </w:rPr>
              <w:t>文獻評論</w:t>
            </w:r>
          </w:p>
          <w:p w:rsidR="00A211EB" w:rsidRDefault="00A211EB" w:rsidP="00E9778E">
            <w:pPr>
              <w:numPr>
                <w:ilvl w:val="0"/>
                <w:numId w:val="3"/>
              </w:numPr>
            </w:pPr>
            <w:r>
              <w:rPr>
                <w:rFonts w:cs="新細明體" w:hint="eastAsia"/>
              </w:rPr>
              <w:t>研究途徑</w:t>
            </w:r>
            <w:r>
              <w:t>/</w:t>
            </w:r>
            <w:r>
              <w:rPr>
                <w:rFonts w:cs="新細明體" w:hint="eastAsia"/>
              </w:rPr>
              <w:t>研究架構</w:t>
            </w:r>
            <w:r>
              <w:t>/</w:t>
            </w:r>
            <w:r>
              <w:rPr>
                <w:rFonts w:cs="新細明體" w:hint="eastAsia"/>
              </w:rPr>
              <w:t>研究方法</w:t>
            </w:r>
          </w:p>
          <w:p w:rsidR="00A211EB" w:rsidRDefault="00A211EB" w:rsidP="00E9778E">
            <w:pPr>
              <w:numPr>
                <w:ilvl w:val="0"/>
                <w:numId w:val="3"/>
              </w:numPr>
            </w:pPr>
            <w:r>
              <w:rPr>
                <w:rFonts w:cs="新細明體" w:hint="eastAsia"/>
              </w:rPr>
              <w:t>主要重點說明</w:t>
            </w:r>
          </w:p>
          <w:p w:rsidR="00A211EB" w:rsidRDefault="00A211EB" w:rsidP="00E9778E">
            <w:r>
              <w:rPr>
                <w:rFonts w:cs="新細明體" w:hint="eastAsia"/>
              </w:rPr>
              <w:t>教材：邱榮舉，</w:t>
            </w:r>
            <w:r>
              <w:t>2002</w:t>
            </w:r>
            <w:r>
              <w:rPr>
                <w:rFonts w:cs="新細明體" w:hint="eastAsia"/>
              </w:rPr>
              <w:t>，《學術論文寫作研究》，台北：翰蘆圖書公司。</w:t>
            </w:r>
          </w:p>
          <w:p w:rsidR="00A211EB" w:rsidRDefault="00A211EB" w:rsidP="00A211EB">
            <w:pPr>
              <w:ind w:firstLineChars="300" w:firstLine="31680"/>
            </w:pPr>
            <w:r>
              <w:rPr>
                <w:rFonts w:cs="新細明體" w:hint="eastAsia"/>
              </w:rPr>
              <w:t>李鴻禧等，</w:t>
            </w:r>
            <w:r>
              <w:t>2002</w:t>
            </w:r>
            <w:r>
              <w:rPr>
                <w:rFonts w:cs="新細明體" w:hint="eastAsia"/>
              </w:rPr>
              <w:t>，《台灣憲法之縱剖橫切》，台北：元照出版公司。</w:t>
            </w:r>
          </w:p>
          <w:p w:rsidR="00A211EB" w:rsidRDefault="00A211EB" w:rsidP="00A211EB">
            <w:pPr>
              <w:ind w:firstLineChars="300" w:firstLine="31680"/>
            </w:pPr>
            <w:r>
              <w:rPr>
                <w:rFonts w:cs="新細明體" w:hint="eastAsia"/>
              </w:rPr>
              <w:t>李鴻禧，</w:t>
            </w:r>
            <w:r>
              <w:t>1994</w:t>
            </w:r>
            <w:r>
              <w:rPr>
                <w:rFonts w:cs="新細明體" w:hint="eastAsia"/>
              </w:rPr>
              <w:t>，《李鴻禧憲法教室》，台北：月旦出版社。</w:t>
            </w:r>
          </w:p>
          <w:p w:rsidR="00A211EB" w:rsidRDefault="00A211EB" w:rsidP="00A211EB">
            <w:pPr>
              <w:ind w:leftChars="300" w:left="31680"/>
            </w:pPr>
            <w:r>
              <w:rPr>
                <w:rFonts w:cs="新細明體" w:hint="eastAsia"/>
              </w:rPr>
              <w:t>胡佛，</w:t>
            </w:r>
            <w:r>
              <w:t>1998</w:t>
            </w:r>
            <w:r>
              <w:rPr>
                <w:rFonts w:cs="新細明體" w:hint="eastAsia"/>
              </w:rPr>
              <w:t>，《政治學的科學探究（四）：政治變遷與民主化》，台北：三民書局。</w:t>
            </w:r>
          </w:p>
          <w:p w:rsidR="00A211EB" w:rsidRDefault="00A211EB" w:rsidP="00A211EB">
            <w:pPr>
              <w:ind w:firstLineChars="300" w:firstLine="31680"/>
            </w:pPr>
            <w:r>
              <w:rPr>
                <w:rFonts w:cs="新細明體" w:hint="eastAsia"/>
              </w:rPr>
              <w:t>呂亞力，</w:t>
            </w:r>
            <w:r>
              <w:t>1988</w:t>
            </w:r>
            <w:r>
              <w:rPr>
                <w:rFonts w:cs="新細明體" w:hint="eastAsia"/>
              </w:rPr>
              <w:t>，《政治發展與民主》，台北：五南圖書出版公司。</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4</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w:t>
            </w:r>
            <w:r w:rsidRPr="00E9778E">
              <w:rPr>
                <w:rFonts w:ascii="新細明體" w:hAnsi="新細明體" w:cs="新細明體" w:hint="eastAsia"/>
              </w:rPr>
              <w:t>題：臺灣</w:t>
            </w:r>
            <w:r w:rsidRPr="00E9778E">
              <w:rPr>
                <w:rFonts w:cs="新細明體" w:hint="eastAsia"/>
                <w:b/>
                <w:bCs/>
              </w:rPr>
              <w:t>憲法史簡評</w:t>
            </w:r>
          </w:p>
          <w:p w:rsidR="00A211EB" w:rsidRDefault="00A211EB" w:rsidP="00E9778E">
            <w:r>
              <w:rPr>
                <w:rFonts w:cs="新細明體" w:hint="eastAsia"/>
              </w:rPr>
              <w:t>教材：羅志淵，</w:t>
            </w:r>
            <w:r>
              <w:t>1967</w:t>
            </w:r>
            <w:r>
              <w:rPr>
                <w:rFonts w:cs="新細明體" w:hint="eastAsia"/>
              </w:rPr>
              <w:t>，《中國憲法史》，台北：臺灣商務印書館。</w:t>
            </w:r>
          </w:p>
          <w:p w:rsidR="00A211EB" w:rsidRDefault="00A211EB" w:rsidP="00E9778E">
            <w:r>
              <w:tab/>
              <w:t xml:space="preserve">  </w:t>
            </w:r>
            <w:r>
              <w:rPr>
                <w:rFonts w:cs="新細明體" w:hint="eastAsia"/>
              </w:rPr>
              <w:t>荊知仁，</w:t>
            </w:r>
            <w:r>
              <w:t>1984</w:t>
            </w:r>
            <w:r>
              <w:rPr>
                <w:rFonts w:cs="新細明體" w:hint="eastAsia"/>
              </w:rPr>
              <w:t>，《中國立憲史》，台北：聯經出版公司。</w:t>
            </w:r>
          </w:p>
          <w:p w:rsidR="00A211EB" w:rsidRDefault="00A211EB" w:rsidP="00A211EB">
            <w:pPr>
              <w:ind w:leftChars="300" w:left="31680"/>
            </w:pPr>
            <w:r>
              <w:rPr>
                <w:rFonts w:cs="新細明體" w:hint="eastAsia"/>
              </w:rPr>
              <w:t>王泰升，</w:t>
            </w:r>
            <w:r>
              <w:t>1997</w:t>
            </w:r>
            <w:r>
              <w:rPr>
                <w:rFonts w:cs="新細明體" w:hint="eastAsia"/>
              </w:rPr>
              <w:t>，〈臺灣主體性的法律史研究〉，《台灣法律史的建立》，台北：著者發行，頁</w:t>
            </w:r>
            <w:r>
              <w:t>35-55</w:t>
            </w:r>
            <w:r>
              <w:rPr>
                <w:rFonts w:cs="新細明體" w:hint="eastAsia"/>
              </w:rPr>
              <w:t>。</w:t>
            </w:r>
          </w:p>
          <w:p w:rsidR="00A211EB" w:rsidRDefault="00A211EB" w:rsidP="00A211EB">
            <w:pPr>
              <w:ind w:leftChars="300" w:left="31680"/>
            </w:pPr>
            <w:r>
              <w:rPr>
                <w:rFonts w:cs="新細明體" w:hint="eastAsia"/>
              </w:rPr>
              <w:t>王泰升，</w:t>
            </w:r>
            <w:r>
              <w:t>1997</w:t>
            </w:r>
            <w:r>
              <w:rPr>
                <w:rFonts w:cs="新細明體" w:hint="eastAsia"/>
              </w:rPr>
              <w:t>，〈台灣日治時期憲法史初探〉，《台灣法律史的建立》，頁</w:t>
            </w:r>
            <w:r>
              <w:t>183-256</w:t>
            </w:r>
            <w:r>
              <w:rPr>
                <w:rFonts w:cs="新細明體" w:hint="eastAsia"/>
              </w:rPr>
              <w:t>。</w:t>
            </w:r>
          </w:p>
          <w:p w:rsidR="00A211EB" w:rsidRDefault="00A211EB" w:rsidP="00A211EB">
            <w:pPr>
              <w:ind w:leftChars="300" w:left="31680"/>
            </w:pPr>
            <w:r>
              <w:rPr>
                <w:rFonts w:cs="新細明體" w:hint="eastAsia"/>
              </w:rPr>
              <w:t>王泰升，</w:t>
            </w:r>
            <w:r>
              <w:t>2002</w:t>
            </w:r>
            <w:r>
              <w:rPr>
                <w:rFonts w:cs="新細明體" w:hint="eastAsia"/>
              </w:rPr>
              <w:t>，〈台灣憲法的故事：從「舊日本」與「舊中國」蛻變而成「新台灣」〉，李鴻禧等，</w:t>
            </w:r>
            <w:r>
              <w:t>2002</w:t>
            </w:r>
            <w:r>
              <w:rPr>
                <w:rFonts w:cs="新細明體" w:hint="eastAsia"/>
              </w:rPr>
              <w:t>，《台灣憲法之縱剖橫切》，台北：元照，頁</w:t>
            </w:r>
            <w:r>
              <w:t>497-541</w:t>
            </w:r>
            <w:r>
              <w:rPr>
                <w:rFonts w:cs="新細明體" w:hint="eastAsia"/>
              </w:rPr>
              <w:t>。</w:t>
            </w:r>
          </w:p>
          <w:p w:rsidR="00A211EB" w:rsidRDefault="00A211EB" w:rsidP="00A211EB">
            <w:pPr>
              <w:ind w:leftChars="300" w:left="31680"/>
            </w:pPr>
            <w:r>
              <w:rPr>
                <w:rFonts w:cs="新細明體" w:hint="eastAsia"/>
              </w:rPr>
              <w:t>黃昭元，</w:t>
            </w:r>
            <w:r>
              <w:t>2000</w:t>
            </w:r>
            <w:r>
              <w:rPr>
                <w:rFonts w:cs="新細明體" w:hint="eastAsia"/>
              </w:rPr>
              <w:t>，〈關於台灣憲法史研究的粗淺看法〉，王泰升主編，</w:t>
            </w:r>
            <w:r>
              <w:t>2000</w:t>
            </w:r>
            <w:r>
              <w:rPr>
                <w:rFonts w:cs="新細明體" w:hint="eastAsia"/>
              </w:rPr>
              <w:t>，《臺灣法律史研究的方法》，台北：學林文化，頁</w:t>
            </w:r>
            <w:r>
              <w:t>33-40</w:t>
            </w:r>
            <w:r>
              <w:rPr>
                <w:rFonts w:cs="新細明體" w:hint="eastAsia"/>
              </w:rPr>
              <w:t>。</w:t>
            </w:r>
          </w:p>
          <w:p w:rsidR="00A211EB" w:rsidRPr="0095371C" w:rsidRDefault="00A211EB" w:rsidP="00A211EB">
            <w:pPr>
              <w:ind w:leftChars="300" w:left="31680"/>
            </w:pPr>
            <w:r>
              <w:rPr>
                <w:rFonts w:cs="新細明體" w:hint="eastAsia"/>
              </w:rPr>
              <w:t>黃昭堂著，廖為智譯，</w:t>
            </w:r>
            <w:r>
              <w:t>2006</w:t>
            </w:r>
            <w:r>
              <w:rPr>
                <w:rFonts w:cs="新細明體" w:hint="eastAsia"/>
              </w:rPr>
              <w:t>，《臺灣民主國之研究》，臺北：前衛出版社。</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5</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w:t>
            </w:r>
            <w:r w:rsidRPr="00E9778E">
              <w:rPr>
                <w:rFonts w:ascii="新細明體" w:hAnsi="新細明體" w:cs="新細明體" w:hint="eastAsia"/>
              </w:rPr>
              <w:t>題：</w:t>
            </w:r>
            <w:r w:rsidRPr="00E9778E">
              <w:rPr>
                <w:rFonts w:cs="新細明體" w:hint="eastAsia"/>
                <w:b/>
                <w:bCs/>
              </w:rPr>
              <w:t>憲法的基本原則</w:t>
            </w:r>
          </w:p>
          <w:p w:rsidR="00A211EB" w:rsidRDefault="00A211EB" w:rsidP="00A211EB">
            <w:pPr>
              <w:ind w:firstLineChars="300" w:firstLine="31680"/>
            </w:pPr>
            <w:r>
              <w:rPr>
                <w:rFonts w:cs="新細明體" w:hint="eastAsia"/>
              </w:rPr>
              <w:t>一、資本主義國家（民主國家）之憲法的基本原則</w:t>
            </w:r>
          </w:p>
          <w:p w:rsidR="00A211EB" w:rsidRDefault="00A211EB" w:rsidP="00A211EB">
            <w:pPr>
              <w:ind w:firstLineChars="500" w:firstLine="31680"/>
            </w:pPr>
            <w:r>
              <w:rPr>
                <w:rFonts w:cs="新細明體" w:hint="eastAsia"/>
              </w:rPr>
              <w:t>（一）共和國原則</w:t>
            </w:r>
          </w:p>
          <w:p w:rsidR="00A211EB" w:rsidRDefault="00A211EB" w:rsidP="00A211EB">
            <w:pPr>
              <w:ind w:firstLineChars="500" w:firstLine="31680"/>
            </w:pPr>
            <w:r>
              <w:rPr>
                <w:rFonts w:cs="新細明體" w:hint="eastAsia"/>
              </w:rPr>
              <w:t>（二）民主國原則</w:t>
            </w:r>
          </w:p>
          <w:p w:rsidR="00A211EB" w:rsidRDefault="00A211EB" w:rsidP="00A211EB">
            <w:pPr>
              <w:ind w:firstLineChars="800" w:firstLine="31680"/>
            </w:pPr>
            <w:r>
              <w:rPr>
                <w:rFonts w:cs="新細明體" w:hint="eastAsia"/>
              </w:rPr>
              <w:t>國民主權</w:t>
            </w:r>
            <w:r>
              <w:t>/</w:t>
            </w:r>
            <w:r>
              <w:rPr>
                <w:rFonts w:cs="新細明體" w:hint="eastAsia"/>
              </w:rPr>
              <w:t>多數決</w:t>
            </w:r>
            <w:r>
              <w:t>/</w:t>
            </w:r>
            <w:r>
              <w:rPr>
                <w:rFonts w:cs="新細明體" w:hint="eastAsia"/>
              </w:rPr>
              <w:t>次級統治團體的自主權</w:t>
            </w:r>
          </w:p>
          <w:p w:rsidR="00A211EB" w:rsidRDefault="00A211EB" w:rsidP="00A211EB">
            <w:pPr>
              <w:ind w:firstLineChars="500" w:firstLine="31680"/>
            </w:pPr>
            <w:r>
              <w:rPr>
                <w:rFonts w:cs="新細明體" w:hint="eastAsia"/>
              </w:rPr>
              <w:t>（三）法治國原則</w:t>
            </w:r>
          </w:p>
          <w:p w:rsidR="00A211EB" w:rsidRDefault="00A211EB" w:rsidP="00A211EB">
            <w:pPr>
              <w:ind w:firstLineChars="800" w:firstLine="31680"/>
            </w:pPr>
            <w:r>
              <w:rPr>
                <w:rFonts w:cs="新細明體" w:hint="eastAsia"/>
              </w:rPr>
              <w:t>基本權利的保障</w:t>
            </w:r>
            <w:r>
              <w:t>/</w:t>
            </w:r>
            <w:r>
              <w:rPr>
                <w:rFonts w:cs="新細明體" w:hint="eastAsia"/>
              </w:rPr>
              <w:t>權力分立</w:t>
            </w:r>
            <w:r>
              <w:t>/</w:t>
            </w:r>
            <w:r>
              <w:rPr>
                <w:rFonts w:cs="新細明體" w:hint="eastAsia"/>
              </w:rPr>
              <w:t>依法行政</w:t>
            </w:r>
            <w:r>
              <w:t>/</w:t>
            </w:r>
            <w:r>
              <w:rPr>
                <w:rFonts w:cs="新細明體" w:hint="eastAsia"/>
              </w:rPr>
              <w:t>司法審查</w:t>
            </w:r>
          </w:p>
          <w:p w:rsidR="00A211EB" w:rsidRDefault="00A211EB" w:rsidP="00E9778E">
            <w:r>
              <w:tab/>
            </w:r>
            <w:r>
              <w:tab/>
              <w:t xml:space="preserve">  </w:t>
            </w:r>
            <w:r>
              <w:rPr>
                <w:rFonts w:cs="新細明體" w:hint="eastAsia"/>
              </w:rPr>
              <w:t>（四）民生福利國原則</w:t>
            </w:r>
          </w:p>
          <w:p w:rsidR="00A211EB" w:rsidRDefault="00A211EB" w:rsidP="00A211EB">
            <w:pPr>
              <w:ind w:firstLineChars="300" w:firstLine="31680"/>
            </w:pPr>
            <w:r>
              <w:rPr>
                <w:rFonts w:cs="新細明體" w:hint="eastAsia"/>
              </w:rPr>
              <w:t>二、社會主義國家之憲法的基本原則</w:t>
            </w:r>
          </w:p>
          <w:p w:rsidR="00A211EB" w:rsidRDefault="00A211EB" w:rsidP="00E9778E">
            <w:r>
              <w:rPr>
                <w:rFonts w:cs="新細明體" w:hint="eastAsia"/>
              </w:rPr>
              <w:t>教材：吳庚，</w:t>
            </w:r>
            <w:r>
              <w:t>2003</w:t>
            </w:r>
            <w:r>
              <w:rPr>
                <w:rFonts w:cs="新細明體" w:hint="eastAsia"/>
              </w:rPr>
              <w:t>，《憲法的解釋與適用》，台北：著者發行。</w:t>
            </w:r>
          </w:p>
          <w:p w:rsidR="00A211EB" w:rsidRDefault="00A211EB" w:rsidP="00A211EB">
            <w:pPr>
              <w:ind w:firstLineChars="300" w:firstLine="31680"/>
            </w:pPr>
            <w:r>
              <w:rPr>
                <w:rFonts w:cs="新細明體" w:hint="eastAsia"/>
              </w:rPr>
              <w:t>湯德宗，</w:t>
            </w:r>
            <w:r>
              <w:t>1998</w:t>
            </w:r>
            <w:r>
              <w:rPr>
                <w:rFonts w:cs="新細明體" w:hint="eastAsia"/>
              </w:rPr>
              <w:t>，《權力分立新論》，</w:t>
            </w:r>
            <w:r>
              <w:t xml:space="preserve"> </w:t>
            </w:r>
            <w:r>
              <w:rPr>
                <w:rFonts w:cs="新細明體" w:hint="eastAsia"/>
              </w:rPr>
              <w:t>台北：著者發行。</w:t>
            </w:r>
          </w:p>
          <w:p w:rsidR="00A211EB" w:rsidRPr="0095371C" w:rsidRDefault="00A211EB" w:rsidP="00A211EB">
            <w:pPr>
              <w:ind w:leftChars="300" w:left="31680"/>
            </w:pPr>
            <w:r>
              <w:rPr>
                <w:rFonts w:cs="新細明體" w:hint="eastAsia"/>
              </w:rPr>
              <w:t>許志雄等，</w:t>
            </w:r>
            <w:r>
              <w:t>1999</w:t>
            </w:r>
            <w:r>
              <w:rPr>
                <w:rFonts w:cs="新細明體" w:hint="eastAsia"/>
              </w:rPr>
              <w:t>，《現代憲法論》，台北：元照出版公司，第二十講：權力分立原理，頁</w:t>
            </w:r>
            <w:r>
              <w:t>249-264</w:t>
            </w:r>
            <w:r>
              <w:rPr>
                <w:rFonts w:cs="新細明體" w:hint="eastAsia"/>
              </w:rPr>
              <w:t>。</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6</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主題：</w:t>
            </w:r>
            <w:r w:rsidRPr="00E9778E">
              <w:rPr>
                <w:rFonts w:cs="新細明體" w:hint="eastAsia"/>
                <w:b/>
                <w:bCs/>
              </w:rPr>
              <w:t>人民的權利義務</w:t>
            </w:r>
          </w:p>
          <w:p w:rsidR="00A211EB" w:rsidRDefault="00A211EB" w:rsidP="00E9778E">
            <w:pPr>
              <w:numPr>
                <w:ilvl w:val="0"/>
                <w:numId w:val="4"/>
              </w:numPr>
            </w:pPr>
            <w:r>
              <w:rPr>
                <w:rFonts w:cs="新細明體" w:hint="eastAsia"/>
              </w:rPr>
              <w:t>本權的一般理論</w:t>
            </w:r>
          </w:p>
          <w:p w:rsidR="00A211EB" w:rsidRDefault="00A211EB" w:rsidP="00E9778E">
            <w:pPr>
              <w:numPr>
                <w:ilvl w:val="0"/>
                <w:numId w:val="4"/>
              </w:numPr>
            </w:pPr>
            <w:r>
              <w:rPr>
                <w:rFonts w:cs="新細明體" w:hint="eastAsia"/>
              </w:rPr>
              <w:t>平等權與自由權</w:t>
            </w:r>
          </w:p>
          <w:p w:rsidR="00A211EB" w:rsidRDefault="00A211EB" w:rsidP="00E9778E">
            <w:pPr>
              <w:numPr>
                <w:ilvl w:val="0"/>
                <w:numId w:val="4"/>
              </w:numPr>
            </w:pPr>
            <w:r>
              <w:rPr>
                <w:rFonts w:cs="新細明體" w:hint="eastAsia"/>
              </w:rPr>
              <w:t>社會的基本權</w:t>
            </w:r>
          </w:p>
          <w:p w:rsidR="00A211EB" w:rsidRDefault="00A211EB" w:rsidP="00E9778E">
            <w:pPr>
              <w:ind w:left="480" w:firstLine="480"/>
            </w:pPr>
            <w:r>
              <w:t xml:space="preserve">  </w:t>
            </w:r>
            <w:r>
              <w:tab/>
            </w:r>
            <w:r>
              <w:tab/>
            </w:r>
            <w:r>
              <w:rPr>
                <w:rFonts w:cs="新細明體" w:hint="eastAsia"/>
              </w:rPr>
              <w:t>四、程序的基本權</w:t>
            </w:r>
          </w:p>
          <w:p w:rsidR="00A211EB" w:rsidRDefault="00A211EB" w:rsidP="00E9778E">
            <w:pPr>
              <w:ind w:left="1440" w:firstLine="480"/>
            </w:pPr>
            <w:r>
              <w:rPr>
                <w:rFonts w:cs="新細明體" w:hint="eastAsia"/>
              </w:rPr>
              <w:t>五、政治參與權</w:t>
            </w:r>
          </w:p>
          <w:p w:rsidR="00A211EB" w:rsidRDefault="00A211EB" w:rsidP="00E9778E">
            <w:pPr>
              <w:ind w:left="1440" w:firstLine="480"/>
            </w:pPr>
            <w:r>
              <w:rPr>
                <w:rFonts w:cs="新細明體" w:hint="eastAsia"/>
              </w:rPr>
              <w:t>六、其他自由及權利舉隅</w:t>
            </w:r>
          </w:p>
          <w:p w:rsidR="00A211EB" w:rsidRDefault="00A211EB" w:rsidP="00E9778E">
            <w:r>
              <w:rPr>
                <w:rFonts w:cs="新細明體" w:hint="eastAsia"/>
              </w:rPr>
              <w:t>教材：吳庚，</w:t>
            </w:r>
            <w:r>
              <w:t>2003</w:t>
            </w:r>
            <w:r>
              <w:rPr>
                <w:rFonts w:cs="新細明體" w:hint="eastAsia"/>
              </w:rPr>
              <w:t>，《憲法的解釋與適用》，台北：著者發行。</w:t>
            </w:r>
          </w:p>
          <w:p w:rsidR="00A211EB" w:rsidRDefault="00A211EB" w:rsidP="00A211EB">
            <w:pPr>
              <w:ind w:leftChars="300" w:left="31680"/>
            </w:pPr>
            <w:r>
              <w:rPr>
                <w:rFonts w:cs="新細明體" w:hint="eastAsia"/>
              </w:rPr>
              <w:t>林子儀，</w:t>
            </w:r>
            <w:r>
              <w:t>2002</w:t>
            </w:r>
            <w:r>
              <w:rPr>
                <w:rFonts w:cs="新細明體" w:hint="eastAsia"/>
              </w:rPr>
              <w:t>，〈言論自由導論〉，李鴻禧等，</w:t>
            </w:r>
            <w:r>
              <w:t>2002</w:t>
            </w:r>
            <w:r>
              <w:rPr>
                <w:rFonts w:cs="新細明體" w:hint="eastAsia"/>
              </w:rPr>
              <w:t>，《台灣憲法之縱剖橫切》，台北：元照出版公司，頁</w:t>
            </w:r>
            <w:r>
              <w:t>103-179</w:t>
            </w:r>
            <w:r>
              <w:rPr>
                <w:rFonts w:cs="新細明體" w:hint="eastAsia"/>
              </w:rPr>
              <w:t>。</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7</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主題：</w:t>
            </w:r>
            <w:r w:rsidRPr="00E9778E">
              <w:rPr>
                <w:rFonts w:cs="新細明體" w:hint="eastAsia"/>
                <w:b/>
                <w:bCs/>
              </w:rPr>
              <w:t>中央政治體制</w:t>
            </w:r>
            <w:r w:rsidRPr="00E9778E">
              <w:rPr>
                <w:b/>
                <w:bCs/>
              </w:rPr>
              <w:t>/</w:t>
            </w:r>
            <w:r w:rsidRPr="00E9778E">
              <w:rPr>
                <w:rFonts w:cs="新細明體" w:hint="eastAsia"/>
                <w:b/>
                <w:bCs/>
              </w:rPr>
              <w:t>憲政改革</w:t>
            </w:r>
            <w:r w:rsidRPr="00E9778E">
              <w:rPr>
                <w:b/>
                <w:bCs/>
              </w:rPr>
              <w:t>/</w:t>
            </w:r>
            <w:r w:rsidRPr="00E9778E">
              <w:rPr>
                <w:rFonts w:cs="新細明體" w:hint="eastAsia"/>
                <w:b/>
                <w:bCs/>
              </w:rPr>
              <w:t>政府再造</w:t>
            </w:r>
          </w:p>
          <w:p w:rsidR="00A211EB" w:rsidRDefault="00A211EB" w:rsidP="00E9778E">
            <w:pPr>
              <w:numPr>
                <w:ilvl w:val="0"/>
                <w:numId w:val="5"/>
              </w:numPr>
            </w:pPr>
            <w:r>
              <w:rPr>
                <w:rFonts w:cs="新細明體" w:hint="eastAsia"/>
              </w:rPr>
              <w:t>何謂政治制度</w:t>
            </w:r>
            <w:r>
              <w:t>/</w:t>
            </w:r>
            <w:r>
              <w:rPr>
                <w:rFonts w:cs="新細明體" w:hint="eastAsia"/>
              </w:rPr>
              <w:t>政治體制</w:t>
            </w:r>
            <w:r>
              <w:t>/</w:t>
            </w:r>
            <w:r>
              <w:rPr>
                <w:rFonts w:cs="新細明體" w:hint="eastAsia"/>
              </w:rPr>
              <w:t>政府體制</w:t>
            </w:r>
            <w:r>
              <w:t>/</w:t>
            </w:r>
            <w:r>
              <w:rPr>
                <w:rFonts w:cs="新細明體" w:hint="eastAsia"/>
              </w:rPr>
              <w:t>憲政體制</w:t>
            </w:r>
          </w:p>
          <w:p w:rsidR="00A211EB" w:rsidRDefault="00A211EB" w:rsidP="00E9778E">
            <w:pPr>
              <w:ind w:left="1920"/>
            </w:pPr>
            <w:r>
              <w:rPr>
                <w:rFonts w:cs="新細明體" w:hint="eastAsia"/>
              </w:rPr>
              <w:t>（一）國民大會</w:t>
            </w:r>
          </w:p>
          <w:p w:rsidR="00A211EB" w:rsidRDefault="00A211EB" w:rsidP="00E9778E">
            <w:pPr>
              <w:ind w:left="1920"/>
            </w:pPr>
            <w:r>
              <w:rPr>
                <w:rFonts w:cs="新細明體" w:hint="eastAsia"/>
              </w:rPr>
              <w:t>（二）中央政府體制之四大類型</w:t>
            </w:r>
          </w:p>
          <w:p w:rsidR="00A211EB" w:rsidRDefault="00A211EB" w:rsidP="00E9778E">
            <w:pPr>
              <w:ind w:left="2400"/>
            </w:pPr>
            <w:r>
              <w:t>1</w:t>
            </w:r>
            <w:r>
              <w:rPr>
                <w:rFonts w:cs="新細明體" w:hint="eastAsia"/>
              </w:rPr>
              <w:t>、總統制</w:t>
            </w:r>
          </w:p>
          <w:p w:rsidR="00A211EB" w:rsidRDefault="00A211EB" w:rsidP="00E9778E">
            <w:pPr>
              <w:ind w:left="1920" w:firstLine="480"/>
            </w:pPr>
            <w:r>
              <w:t>2</w:t>
            </w:r>
            <w:r>
              <w:rPr>
                <w:rFonts w:cs="新細明體" w:hint="eastAsia"/>
              </w:rPr>
              <w:t>、內閣制</w:t>
            </w:r>
          </w:p>
          <w:p w:rsidR="00A211EB" w:rsidRDefault="00A211EB" w:rsidP="00E9778E">
            <w:pPr>
              <w:ind w:left="1920" w:firstLine="480"/>
            </w:pPr>
            <w:r>
              <w:t>3</w:t>
            </w:r>
            <w:r>
              <w:rPr>
                <w:rFonts w:cs="新細明體" w:hint="eastAsia"/>
              </w:rPr>
              <w:t>、委員制</w:t>
            </w:r>
          </w:p>
          <w:p w:rsidR="00A211EB" w:rsidRDefault="00A211EB" w:rsidP="00E9778E">
            <w:pPr>
              <w:ind w:left="1920" w:firstLine="480"/>
            </w:pPr>
            <w:r>
              <w:t>4</w:t>
            </w:r>
            <w:r>
              <w:rPr>
                <w:rFonts w:cs="新細明體" w:hint="eastAsia"/>
              </w:rPr>
              <w:t>、雙首長制（混合制或半總統制）</w:t>
            </w:r>
          </w:p>
          <w:p w:rsidR="00A211EB" w:rsidRDefault="00A211EB" w:rsidP="00E9778E">
            <w:pPr>
              <w:ind w:left="480" w:firstLine="480"/>
            </w:pPr>
            <w:r>
              <w:tab/>
            </w:r>
            <w:r>
              <w:tab/>
            </w:r>
            <w:r>
              <w:rPr>
                <w:rFonts w:cs="新細明體" w:hint="eastAsia"/>
              </w:rPr>
              <w:t>（三）我國的中央政府體制</w:t>
            </w:r>
          </w:p>
          <w:p w:rsidR="00A211EB" w:rsidRDefault="00A211EB" w:rsidP="00E9778E">
            <w:pPr>
              <w:ind w:left="1920" w:firstLine="480"/>
            </w:pPr>
            <w:r>
              <w:t>1</w:t>
            </w:r>
            <w:r>
              <w:rPr>
                <w:rFonts w:cs="新細明體" w:hint="eastAsia"/>
              </w:rPr>
              <w:t>、總統</w:t>
            </w:r>
          </w:p>
          <w:p w:rsidR="00A211EB" w:rsidRDefault="00A211EB" w:rsidP="00E9778E">
            <w:pPr>
              <w:ind w:left="1920" w:firstLine="480"/>
            </w:pPr>
            <w:r>
              <w:t>2</w:t>
            </w:r>
            <w:r>
              <w:rPr>
                <w:rFonts w:cs="新細明體" w:hint="eastAsia"/>
              </w:rPr>
              <w:t>、行政院</w:t>
            </w:r>
          </w:p>
          <w:p w:rsidR="00A211EB" w:rsidRDefault="00A211EB" w:rsidP="00E9778E">
            <w:pPr>
              <w:ind w:left="1920" w:firstLine="480"/>
            </w:pPr>
            <w:r>
              <w:t>3</w:t>
            </w:r>
            <w:r>
              <w:rPr>
                <w:rFonts w:cs="新細明體" w:hint="eastAsia"/>
              </w:rPr>
              <w:t>、立法院</w:t>
            </w:r>
          </w:p>
          <w:p w:rsidR="00A211EB" w:rsidRDefault="00A211EB" w:rsidP="00E9778E">
            <w:pPr>
              <w:ind w:left="1920" w:firstLine="480"/>
            </w:pPr>
            <w:r>
              <w:t>4</w:t>
            </w:r>
            <w:r>
              <w:rPr>
                <w:rFonts w:cs="新細明體" w:hint="eastAsia"/>
              </w:rPr>
              <w:t>、司法院</w:t>
            </w:r>
          </w:p>
          <w:p w:rsidR="00A211EB" w:rsidRDefault="00A211EB" w:rsidP="00E9778E">
            <w:pPr>
              <w:ind w:left="1920" w:firstLine="480"/>
            </w:pPr>
            <w:r>
              <w:t>5</w:t>
            </w:r>
            <w:r>
              <w:rPr>
                <w:rFonts w:cs="新細明體" w:hint="eastAsia"/>
              </w:rPr>
              <w:t>、考試院</w:t>
            </w:r>
          </w:p>
          <w:p w:rsidR="00A211EB" w:rsidRDefault="00A211EB" w:rsidP="00E9778E">
            <w:pPr>
              <w:ind w:left="1920" w:firstLine="480"/>
            </w:pPr>
            <w:r>
              <w:t>6</w:t>
            </w:r>
            <w:r>
              <w:rPr>
                <w:rFonts w:cs="新細明體" w:hint="eastAsia"/>
              </w:rPr>
              <w:t>、監察院</w:t>
            </w:r>
          </w:p>
          <w:p w:rsidR="00A211EB" w:rsidRDefault="00A211EB" w:rsidP="00E9778E">
            <w:pPr>
              <w:ind w:left="1440" w:firstLine="480"/>
            </w:pPr>
            <w:r>
              <w:rPr>
                <w:rFonts w:cs="新細明體" w:hint="eastAsia"/>
              </w:rPr>
              <w:t>三、中央政治體制</w:t>
            </w:r>
            <w:r>
              <w:t>/</w:t>
            </w:r>
            <w:r>
              <w:rPr>
                <w:rFonts w:cs="新細明體" w:hint="eastAsia"/>
              </w:rPr>
              <w:t>憲政改革</w:t>
            </w:r>
          </w:p>
          <w:p w:rsidR="00A211EB" w:rsidRDefault="00A211EB" w:rsidP="00E9778E">
            <w:pPr>
              <w:ind w:left="1440" w:firstLine="480"/>
            </w:pPr>
            <w:r>
              <w:rPr>
                <w:rFonts w:cs="新細明體" w:hint="eastAsia"/>
              </w:rPr>
              <w:t>四、政府再造</w:t>
            </w:r>
          </w:p>
          <w:p w:rsidR="00A211EB" w:rsidRDefault="00A211EB" w:rsidP="00E9778E">
            <w:r>
              <w:rPr>
                <w:rFonts w:cs="新細明體" w:hint="eastAsia"/>
              </w:rPr>
              <w:t>教材：陳新民，</w:t>
            </w:r>
            <w:r>
              <w:t>1999</w:t>
            </w:r>
            <w:r>
              <w:rPr>
                <w:rFonts w:cs="新細明體" w:hint="eastAsia"/>
              </w:rPr>
              <w:t>，《憲法學導論》，台北：著者發行。</w:t>
            </w:r>
          </w:p>
          <w:p w:rsidR="00A211EB" w:rsidRDefault="00A211EB" w:rsidP="00A211EB">
            <w:pPr>
              <w:ind w:leftChars="300" w:left="31680"/>
            </w:pPr>
            <w:r>
              <w:rPr>
                <w:rFonts w:cs="新細明體" w:hint="eastAsia"/>
              </w:rPr>
              <w:t>胡佛，</w:t>
            </w:r>
            <w:r>
              <w:t>1998</w:t>
            </w:r>
            <w:r>
              <w:rPr>
                <w:rFonts w:cs="新細明體" w:hint="eastAsia"/>
              </w:rPr>
              <w:t>，《政治學的科學探究（五）：憲政結構與政府體制》，台北：三民書局。</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8</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主題：</w:t>
            </w:r>
            <w:r w:rsidRPr="00E9778E">
              <w:rPr>
                <w:rFonts w:cs="新細明體" w:hint="eastAsia"/>
                <w:b/>
                <w:bCs/>
              </w:rPr>
              <w:t>地方政治體制</w:t>
            </w:r>
            <w:r w:rsidRPr="00E9778E">
              <w:rPr>
                <w:b/>
                <w:bCs/>
              </w:rPr>
              <w:t>/</w:t>
            </w:r>
            <w:r w:rsidRPr="00E9778E">
              <w:rPr>
                <w:rFonts w:cs="新細明體" w:hint="eastAsia"/>
                <w:b/>
                <w:bCs/>
              </w:rPr>
              <w:t>地方政治改革</w:t>
            </w:r>
          </w:p>
          <w:p w:rsidR="00A211EB" w:rsidRDefault="00A211EB" w:rsidP="00E9778E">
            <w:pPr>
              <w:numPr>
                <w:ilvl w:val="0"/>
                <w:numId w:val="6"/>
              </w:numPr>
            </w:pPr>
            <w:r>
              <w:rPr>
                <w:rFonts w:cs="新細明體" w:hint="eastAsia"/>
              </w:rPr>
              <w:t>央與地方之權限劃分</w:t>
            </w:r>
          </w:p>
          <w:p w:rsidR="00A211EB" w:rsidRDefault="00A211EB" w:rsidP="00E9778E">
            <w:pPr>
              <w:numPr>
                <w:ilvl w:val="0"/>
                <w:numId w:val="6"/>
              </w:numPr>
            </w:pPr>
            <w:r>
              <w:rPr>
                <w:rFonts w:cs="新細明體" w:hint="eastAsia"/>
              </w:rPr>
              <w:t>地方政府</w:t>
            </w:r>
            <w:r>
              <w:t>/</w:t>
            </w:r>
            <w:r>
              <w:rPr>
                <w:rFonts w:cs="新細明體" w:hint="eastAsia"/>
              </w:rPr>
              <w:t>地方自治</w:t>
            </w:r>
          </w:p>
          <w:p w:rsidR="00A211EB" w:rsidRDefault="00A211EB" w:rsidP="00E9778E">
            <w:pPr>
              <w:numPr>
                <w:ilvl w:val="0"/>
                <w:numId w:val="6"/>
              </w:numPr>
            </w:pPr>
            <w:r>
              <w:rPr>
                <w:rFonts w:cs="新細明體" w:hint="eastAsia"/>
              </w:rPr>
              <w:t>地方政治改革</w:t>
            </w:r>
          </w:p>
          <w:p w:rsidR="00A211EB" w:rsidRDefault="00A211EB" w:rsidP="00A211EB">
            <w:pPr>
              <w:ind w:left="31680" w:hangingChars="300" w:firstLine="31680"/>
            </w:pPr>
            <w:r>
              <w:rPr>
                <w:rFonts w:cs="新細明體" w:hint="eastAsia"/>
              </w:rPr>
              <w:t>教材：趙永茂，</w:t>
            </w:r>
            <w:r>
              <w:t>2002</w:t>
            </w:r>
            <w:r>
              <w:rPr>
                <w:rFonts w:cs="新細明體" w:hint="eastAsia"/>
              </w:rPr>
              <w:t>，《中央與地方權限劃分的理論與實際－－兼論台灣地方政府的變革方向》，台北：翰蘆圖書公司。</w:t>
            </w:r>
          </w:p>
          <w:p w:rsidR="00A211EB" w:rsidRDefault="00A211EB" w:rsidP="00A211EB">
            <w:pPr>
              <w:ind w:firstLineChars="300" w:firstLine="31680"/>
            </w:pPr>
            <w:r>
              <w:rPr>
                <w:rFonts w:cs="新細明體" w:hint="eastAsia"/>
              </w:rPr>
              <w:t>趙永茂，</w:t>
            </w:r>
            <w:r>
              <w:t>2002</w:t>
            </w:r>
            <w:r>
              <w:rPr>
                <w:rFonts w:cs="新細明體" w:hint="eastAsia"/>
              </w:rPr>
              <w:t>，《台灣地方政治的變遷與特質》，台北：翰蘆圖書公司。</w:t>
            </w:r>
          </w:p>
          <w:p w:rsidR="00A211EB" w:rsidRDefault="00A211EB" w:rsidP="00A211EB">
            <w:pPr>
              <w:ind w:leftChars="300" w:left="31680"/>
            </w:pPr>
            <w:r>
              <w:rPr>
                <w:rFonts w:cs="新細明體" w:hint="eastAsia"/>
              </w:rPr>
              <w:t>紀俊臣，</w:t>
            </w:r>
            <w:r>
              <w:t>1999</w:t>
            </w:r>
            <w:r>
              <w:rPr>
                <w:rFonts w:cs="新細明體" w:hint="eastAsia"/>
              </w:rPr>
              <w:t>，《精省與新地方制度──始末、設計、發展系論》，台北：時英出版社。</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9</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w:t>
            </w:r>
            <w:r w:rsidRPr="00E9778E">
              <w:rPr>
                <w:rFonts w:ascii="新細明體" w:hAnsi="新細明體" w:cs="新細明體" w:hint="eastAsia"/>
              </w:rPr>
              <w:t>題：</w:t>
            </w:r>
            <w:r w:rsidRPr="00E9778E">
              <w:rPr>
                <w:rFonts w:cs="新細明體" w:hint="eastAsia"/>
                <w:b/>
                <w:bCs/>
              </w:rPr>
              <w:t>基本國策</w:t>
            </w:r>
          </w:p>
          <w:p w:rsidR="00A211EB" w:rsidRDefault="00A211EB" w:rsidP="00A211EB">
            <w:pPr>
              <w:ind w:firstLineChars="300" w:firstLine="31680"/>
            </w:pPr>
            <w:r>
              <w:rPr>
                <w:rFonts w:cs="新細明體" w:hint="eastAsia"/>
              </w:rPr>
              <w:t>一、基本國策之意義</w:t>
            </w:r>
          </w:p>
          <w:p w:rsidR="00A211EB" w:rsidRDefault="00A211EB" w:rsidP="00A211EB">
            <w:pPr>
              <w:ind w:firstLineChars="300" w:firstLine="31680"/>
            </w:pPr>
            <w:r>
              <w:rPr>
                <w:rFonts w:cs="新細明體" w:hint="eastAsia"/>
              </w:rPr>
              <w:t>二、基本國策之內容</w:t>
            </w:r>
          </w:p>
          <w:p w:rsidR="00A211EB" w:rsidRDefault="00A211EB" w:rsidP="00A211EB">
            <w:pPr>
              <w:ind w:firstLineChars="500" w:firstLine="31680"/>
            </w:pPr>
            <w:r>
              <w:rPr>
                <w:rFonts w:cs="新細明體" w:hint="eastAsia"/>
              </w:rPr>
              <w:t>（一）國防</w:t>
            </w:r>
          </w:p>
          <w:p w:rsidR="00A211EB" w:rsidRDefault="00A211EB" w:rsidP="00A211EB">
            <w:pPr>
              <w:ind w:firstLineChars="500" w:firstLine="31680"/>
            </w:pPr>
            <w:r>
              <w:rPr>
                <w:rFonts w:cs="新細明體" w:hint="eastAsia"/>
              </w:rPr>
              <w:t>（二）外交</w:t>
            </w:r>
          </w:p>
          <w:p w:rsidR="00A211EB" w:rsidRDefault="00A211EB" w:rsidP="00A211EB">
            <w:pPr>
              <w:ind w:firstLineChars="500" w:firstLine="31680"/>
            </w:pPr>
            <w:r>
              <w:rPr>
                <w:rFonts w:cs="新細明體" w:hint="eastAsia"/>
              </w:rPr>
              <w:t>（三）國民經濟</w:t>
            </w:r>
          </w:p>
          <w:p w:rsidR="00A211EB" w:rsidRDefault="00A211EB" w:rsidP="00A211EB">
            <w:pPr>
              <w:ind w:firstLineChars="500" w:firstLine="31680"/>
            </w:pPr>
            <w:r>
              <w:rPr>
                <w:rFonts w:cs="新細明體" w:hint="eastAsia"/>
              </w:rPr>
              <w:t>（四）社會安全</w:t>
            </w:r>
          </w:p>
          <w:p w:rsidR="00A211EB" w:rsidRDefault="00A211EB" w:rsidP="00A211EB">
            <w:pPr>
              <w:ind w:firstLineChars="500" w:firstLine="31680"/>
            </w:pPr>
            <w:r>
              <w:rPr>
                <w:rFonts w:cs="新細明體" w:hint="eastAsia"/>
              </w:rPr>
              <w:t>（五）教育文化</w:t>
            </w:r>
          </w:p>
          <w:p w:rsidR="00A211EB" w:rsidRDefault="00A211EB" w:rsidP="00A211EB">
            <w:pPr>
              <w:ind w:firstLineChars="500" w:firstLine="31680"/>
            </w:pPr>
            <w:r>
              <w:rPr>
                <w:rFonts w:cs="新細明體" w:hint="eastAsia"/>
              </w:rPr>
              <w:t>（六）邊疆地區</w:t>
            </w:r>
          </w:p>
          <w:p w:rsidR="00A211EB" w:rsidRDefault="00A211EB" w:rsidP="00E9778E">
            <w:r>
              <w:rPr>
                <w:rFonts w:cs="新細明體" w:hint="eastAsia"/>
              </w:rPr>
              <w:t>教材：陳新民，</w:t>
            </w:r>
            <w:r>
              <w:t>1999</w:t>
            </w:r>
            <w:r>
              <w:rPr>
                <w:rFonts w:cs="新細明體" w:hint="eastAsia"/>
              </w:rPr>
              <w:t>，《憲法學導論》，台北：著者發行。</w:t>
            </w:r>
          </w:p>
          <w:p w:rsidR="00A211EB" w:rsidRPr="0095371C" w:rsidRDefault="00A211EB" w:rsidP="00A211EB">
            <w:pPr>
              <w:ind w:firstLineChars="300" w:firstLine="31680"/>
            </w:pPr>
            <w:r>
              <w:rPr>
                <w:rFonts w:cs="新細明體" w:hint="eastAsia"/>
              </w:rPr>
              <w:t>李惠宗，</w:t>
            </w:r>
            <w:r>
              <w:t>2002</w:t>
            </w:r>
            <w:r>
              <w:rPr>
                <w:rFonts w:cs="新細明體" w:hint="eastAsia"/>
              </w:rPr>
              <w:t>，《憲法要義》，台北：元照出版公司。</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10</w:t>
            </w:r>
            <w:r w:rsidRPr="00E9778E">
              <w:rPr>
                <w:rFonts w:cs="新細明體" w:hint="eastAsia"/>
                <w:sz w:val="26"/>
                <w:szCs w:val="26"/>
              </w:rPr>
              <w:t>週</w:t>
            </w:r>
          </w:p>
        </w:tc>
        <w:tc>
          <w:tcPr>
            <w:tcW w:w="8820" w:type="dxa"/>
            <w:gridSpan w:val="9"/>
          </w:tcPr>
          <w:p w:rsidR="00A211EB" w:rsidRDefault="00A211EB" w:rsidP="00E9778E">
            <w:r>
              <w:rPr>
                <w:rFonts w:cs="新細明體" w:hint="eastAsia"/>
              </w:rPr>
              <w:t>期中報告</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11</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主題：</w:t>
            </w:r>
            <w:r w:rsidRPr="00E9778E">
              <w:rPr>
                <w:rFonts w:cs="新細明體" w:hint="eastAsia"/>
                <w:b/>
                <w:bCs/>
              </w:rPr>
              <w:t>修憲</w:t>
            </w:r>
            <w:r w:rsidRPr="00E9778E">
              <w:rPr>
                <w:b/>
                <w:bCs/>
              </w:rPr>
              <w:t>V</w:t>
            </w:r>
            <w:r w:rsidRPr="00E9778E">
              <w:rPr>
                <w:rFonts w:eastAsia="AR MinchoL JIS"/>
                <w:b/>
                <w:bCs/>
              </w:rPr>
              <w:t>.</w:t>
            </w:r>
            <w:r w:rsidRPr="00E9778E">
              <w:rPr>
                <w:b/>
                <w:bCs/>
              </w:rPr>
              <w:t>S</w:t>
            </w:r>
            <w:r w:rsidRPr="00E9778E">
              <w:rPr>
                <w:rFonts w:eastAsia="AR MinchoL JIS"/>
                <w:b/>
                <w:bCs/>
              </w:rPr>
              <w:t>.</w:t>
            </w:r>
            <w:r w:rsidRPr="00E9778E">
              <w:rPr>
                <w:rFonts w:cs="新細明體" w:hint="eastAsia"/>
                <w:b/>
                <w:bCs/>
              </w:rPr>
              <w:t>制憲</w:t>
            </w:r>
            <w:r w:rsidRPr="00E9778E">
              <w:rPr>
                <w:b/>
                <w:bCs/>
              </w:rPr>
              <w:t xml:space="preserve"> /</w:t>
            </w:r>
            <w:r w:rsidRPr="00E9778E">
              <w:rPr>
                <w:rFonts w:cs="新細明體" w:hint="eastAsia"/>
                <w:b/>
                <w:bCs/>
              </w:rPr>
              <w:t>憲法變遷</w:t>
            </w:r>
            <w:r w:rsidRPr="00E9778E">
              <w:rPr>
                <w:b/>
                <w:bCs/>
              </w:rPr>
              <w:t>/</w:t>
            </w:r>
            <w:r w:rsidRPr="00E9778E">
              <w:rPr>
                <w:rFonts w:cs="新細明體" w:hint="eastAsia"/>
                <w:b/>
                <w:bCs/>
              </w:rPr>
              <w:t>政治發展</w:t>
            </w:r>
          </w:p>
          <w:p w:rsidR="00A211EB" w:rsidRDefault="00A211EB" w:rsidP="00E9778E">
            <w:pPr>
              <w:numPr>
                <w:ilvl w:val="0"/>
                <w:numId w:val="7"/>
              </w:numPr>
            </w:pPr>
            <w:r>
              <w:rPr>
                <w:rFonts w:cs="新細明體" w:hint="eastAsia"/>
              </w:rPr>
              <w:t>憲法與國會</w:t>
            </w:r>
          </w:p>
          <w:p w:rsidR="00A211EB" w:rsidRDefault="00A211EB" w:rsidP="00E9778E">
            <w:pPr>
              <w:numPr>
                <w:ilvl w:val="0"/>
                <w:numId w:val="7"/>
              </w:numPr>
            </w:pPr>
            <w:r>
              <w:rPr>
                <w:rFonts w:cs="新細明體" w:hint="eastAsia"/>
              </w:rPr>
              <w:t>修憲</w:t>
            </w:r>
            <w:r w:rsidRPr="00E9778E">
              <w:rPr>
                <w:rFonts w:eastAsia="AR MinchoL JIS"/>
              </w:rPr>
              <w:t>V.S.</w:t>
            </w:r>
            <w:r>
              <w:rPr>
                <w:rFonts w:cs="新細明體" w:hint="eastAsia"/>
              </w:rPr>
              <w:t>制憲</w:t>
            </w:r>
          </w:p>
          <w:p w:rsidR="00A211EB" w:rsidRDefault="00A211EB" w:rsidP="00E9778E">
            <w:pPr>
              <w:numPr>
                <w:ilvl w:val="0"/>
                <w:numId w:val="7"/>
              </w:numPr>
            </w:pPr>
            <w:r>
              <w:rPr>
                <w:rFonts w:cs="新細明體" w:hint="eastAsia"/>
              </w:rPr>
              <w:t>憲法變遷與憲政發展之不同</w:t>
            </w:r>
          </w:p>
          <w:p w:rsidR="00A211EB" w:rsidRDefault="00A211EB" w:rsidP="00E9778E">
            <w:pPr>
              <w:numPr>
                <w:ilvl w:val="0"/>
                <w:numId w:val="7"/>
              </w:numPr>
            </w:pPr>
            <w:r>
              <w:rPr>
                <w:rFonts w:cs="新細明體" w:hint="eastAsia"/>
              </w:rPr>
              <w:t>政治變遷與政治發展之不同</w:t>
            </w:r>
          </w:p>
          <w:p w:rsidR="00A211EB" w:rsidRDefault="00A211EB" w:rsidP="00A211EB">
            <w:pPr>
              <w:ind w:left="31680" w:hangingChars="300" w:firstLine="31680"/>
            </w:pPr>
            <w:r>
              <w:rPr>
                <w:rFonts w:cs="新細明體" w:hint="eastAsia"/>
              </w:rPr>
              <w:t>教材：葉俊榮，</w:t>
            </w:r>
            <w:r>
              <w:t>2002</w:t>
            </w:r>
            <w:r>
              <w:rPr>
                <w:rFonts w:cs="新細明體" w:hint="eastAsia"/>
              </w:rPr>
              <w:t>，〈超越轉型：台灣的憲法變遷〉，李鴻禧等，</w:t>
            </w:r>
            <w:r>
              <w:t>2002</w:t>
            </w:r>
            <w:r>
              <w:rPr>
                <w:rFonts w:cs="新細明體" w:hint="eastAsia"/>
              </w:rPr>
              <w:t>，《台灣憲法之縱剖橫切》，台北：元照出版公司。頁</w:t>
            </w:r>
            <w:r>
              <w:t>71-101</w:t>
            </w:r>
            <w:r>
              <w:rPr>
                <w:rFonts w:cs="新細明體" w:hint="eastAsia"/>
              </w:rPr>
              <w:t>。</w:t>
            </w:r>
          </w:p>
          <w:p w:rsidR="00A211EB" w:rsidRDefault="00A211EB" w:rsidP="00A211EB">
            <w:pPr>
              <w:ind w:firstLineChars="300" w:firstLine="31680"/>
            </w:pPr>
            <w:r>
              <w:rPr>
                <w:rFonts w:cs="新細明體" w:hint="eastAsia"/>
              </w:rPr>
              <w:t>葉俊榮，</w:t>
            </w:r>
            <w:r>
              <w:t>2003</w:t>
            </w:r>
            <w:r>
              <w:rPr>
                <w:rFonts w:cs="新細明體" w:hint="eastAsia"/>
              </w:rPr>
              <w:t>，《民主轉型與憲法變遷》，台北：元照出版公司。</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12</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主題：</w:t>
            </w:r>
            <w:r w:rsidRPr="00E9778E">
              <w:rPr>
                <w:rFonts w:cs="新細明體" w:hint="eastAsia"/>
                <w:b/>
                <w:bCs/>
              </w:rPr>
              <w:t>憲法與人權</w:t>
            </w:r>
            <w:r w:rsidRPr="00E9778E">
              <w:rPr>
                <w:b/>
                <w:bCs/>
              </w:rPr>
              <w:t>/</w:t>
            </w:r>
            <w:r w:rsidRPr="00E9778E">
              <w:rPr>
                <w:rFonts w:cs="新細明體" w:hint="eastAsia"/>
                <w:b/>
                <w:bCs/>
              </w:rPr>
              <w:t>憲法與政黨</w:t>
            </w:r>
          </w:p>
          <w:p w:rsidR="00A211EB" w:rsidRDefault="00A211EB" w:rsidP="00A211EB">
            <w:pPr>
              <w:ind w:leftChars="800" w:left="31680" w:firstLineChars="100" w:firstLine="31680"/>
            </w:pPr>
            <w:r>
              <w:rPr>
                <w:rFonts w:cs="新細明體" w:hint="eastAsia"/>
              </w:rPr>
              <w:t>一、憲法與人權</w:t>
            </w:r>
          </w:p>
          <w:p w:rsidR="00A211EB" w:rsidRDefault="00A211EB" w:rsidP="00E9778E">
            <w:pPr>
              <w:ind w:left="1680" w:firstLine="480"/>
            </w:pPr>
            <w:r>
              <w:rPr>
                <w:rFonts w:cs="新細明體" w:hint="eastAsia"/>
              </w:rPr>
              <w:t>二、憲法與政黨</w:t>
            </w:r>
          </w:p>
          <w:p w:rsidR="00A211EB" w:rsidRDefault="00A211EB" w:rsidP="00E9778E">
            <w:pPr>
              <w:ind w:left="1680" w:firstLine="480"/>
            </w:pPr>
            <w:r>
              <w:rPr>
                <w:rFonts w:cs="新細明體" w:hint="eastAsia"/>
              </w:rPr>
              <w:t>三、憲法與政治民主化</w:t>
            </w:r>
          </w:p>
          <w:p w:rsidR="00A211EB" w:rsidRDefault="00A211EB" w:rsidP="00E9778E">
            <w:r>
              <w:rPr>
                <w:rFonts w:cs="新細明體" w:hint="eastAsia"/>
              </w:rPr>
              <w:t>教材：李鴻禧，</w:t>
            </w:r>
            <w:r>
              <w:t>1999</w:t>
            </w:r>
            <w:r>
              <w:rPr>
                <w:rFonts w:cs="新細明體" w:hint="eastAsia"/>
              </w:rPr>
              <w:t>，《憲法與人權》，台北：元照出版公司。</w:t>
            </w:r>
          </w:p>
          <w:p w:rsidR="00A211EB" w:rsidRDefault="00A211EB" w:rsidP="00A211EB">
            <w:pPr>
              <w:ind w:firstLineChars="300" w:firstLine="31680"/>
            </w:pPr>
            <w:r>
              <w:rPr>
                <w:rFonts w:cs="新細明體" w:hint="eastAsia"/>
              </w:rPr>
              <w:t>呂亞力，</w:t>
            </w:r>
            <w:r>
              <w:t>2003</w:t>
            </w:r>
            <w:r>
              <w:rPr>
                <w:rFonts w:cs="新細明體" w:hint="eastAsia"/>
              </w:rPr>
              <w:t>，《政治學》，修訂五版三刷，台北：三民書局。</w:t>
            </w:r>
          </w:p>
          <w:p w:rsidR="00A211EB" w:rsidRDefault="00A211EB" w:rsidP="00A211EB">
            <w:pPr>
              <w:ind w:leftChars="300" w:left="31680"/>
            </w:pPr>
            <w:r>
              <w:rPr>
                <w:rFonts w:cs="新細明體" w:hint="eastAsia"/>
              </w:rPr>
              <w:t>胡佛，</w:t>
            </w:r>
            <w:r>
              <w:t>1998</w:t>
            </w:r>
            <w:r>
              <w:rPr>
                <w:rFonts w:cs="新細明體" w:hint="eastAsia"/>
              </w:rPr>
              <w:t>，《政治學的科學探究（五）：憲政結構與政府體制》，台北：三民書局。</w:t>
            </w:r>
          </w:p>
          <w:p w:rsidR="00A211EB" w:rsidRDefault="00A211EB" w:rsidP="00A211EB">
            <w:pPr>
              <w:ind w:firstLineChars="300" w:firstLine="31680"/>
            </w:pPr>
            <w:r>
              <w:rPr>
                <w:rFonts w:cs="新細明體" w:hint="eastAsia"/>
              </w:rPr>
              <w:t>任德厚，</w:t>
            </w:r>
            <w:r>
              <w:t>2001</w:t>
            </w:r>
            <w:r>
              <w:rPr>
                <w:rFonts w:cs="新細明體" w:hint="eastAsia"/>
              </w:rPr>
              <w:t>，《政治學》，台北：著者發行。</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13</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w:t>
            </w:r>
            <w:r w:rsidRPr="00E9778E">
              <w:rPr>
                <w:rFonts w:ascii="新細明體" w:hAnsi="新細明體" w:cs="新細明體" w:hint="eastAsia"/>
              </w:rPr>
              <w:t>題：</w:t>
            </w:r>
            <w:r w:rsidRPr="00E9778E">
              <w:rPr>
                <w:rFonts w:cs="新細明體" w:hint="eastAsia"/>
                <w:b/>
                <w:bCs/>
              </w:rPr>
              <w:t>政治發展與民主</w:t>
            </w:r>
          </w:p>
          <w:p w:rsidR="00A211EB" w:rsidRDefault="00A211EB" w:rsidP="00E9778E">
            <w:pPr>
              <w:numPr>
                <w:ilvl w:val="1"/>
                <w:numId w:val="7"/>
              </w:numPr>
            </w:pPr>
            <w:r>
              <w:rPr>
                <w:rFonts w:cs="新細明體" w:hint="eastAsia"/>
              </w:rPr>
              <w:t>治發展與民主的關係</w:t>
            </w:r>
          </w:p>
          <w:p w:rsidR="00A211EB" w:rsidRDefault="00A211EB" w:rsidP="00E9778E">
            <w:pPr>
              <w:numPr>
                <w:ilvl w:val="2"/>
                <w:numId w:val="7"/>
              </w:numPr>
            </w:pPr>
            <w:r>
              <w:rPr>
                <w:rFonts w:cs="新細明體" w:hint="eastAsia"/>
              </w:rPr>
              <w:t>實行民主政治為政治發展的主要目標</w:t>
            </w:r>
          </w:p>
          <w:p w:rsidR="00A211EB" w:rsidRDefault="00A211EB" w:rsidP="00E9778E">
            <w:pPr>
              <w:numPr>
                <w:ilvl w:val="2"/>
                <w:numId w:val="7"/>
              </w:numPr>
            </w:pPr>
            <w:r>
              <w:rPr>
                <w:rFonts w:cs="新細明體" w:hint="eastAsia"/>
              </w:rPr>
              <w:t>開發中國家實行民主政治有那些重點工作</w:t>
            </w:r>
          </w:p>
          <w:p w:rsidR="00A211EB" w:rsidRDefault="00A211EB" w:rsidP="00E9778E">
            <w:pPr>
              <w:numPr>
                <w:ilvl w:val="1"/>
                <w:numId w:val="7"/>
              </w:numPr>
            </w:pPr>
            <w:r>
              <w:rPr>
                <w:rFonts w:cs="新細明體" w:hint="eastAsia"/>
              </w:rPr>
              <w:t>政治發展理論</w:t>
            </w:r>
          </w:p>
          <w:p w:rsidR="00A211EB" w:rsidRDefault="00A211EB" w:rsidP="00E9778E">
            <w:pPr>
              <w:numPr>
                <w:ilvl w:val="1"/>
                <w:numId w:val="7"/>
              </w:numPr>
            </w:pPr>
            <w:r>
              <w:rPr>
                <w:rFonts w:cs="新細明體" w:hint="eastAsia"/>
              </w:rPr>
              <w:t>民主理論</w:t>
            </w:r>
          </w:p>
          <w:p w:rsidR="00A211EB" w:rsidRDefault="00A211EB" w:rsidP="00E9778E">
            <w:r>
              <w:rPr>
                <w:rFonts w:cs="新細明體" w:hint="eastAsia"/>
              </w:rPr>
              <w:t>教材：呂亞力，</w:t>
            </w:r>
            <w:r>
              <w:t>1988</w:t>
            </w:r>
            <w:r>
              <w:rPr>
                <w:rFonts w:cs="新細明體" w:hint="eastAsia"/>
              </w:rPr>
              <w:t>，《政治發展與民主》，臺北：五南圖書出版公司。</w:t>
            </w:r>
          </w:p>
          <w:p w:rsidR="00A211EB" w:rsidRDefault="00A211EB" w:rsidP="00A211EB">
            <w:pPr>
              <w:ind w:firstLineChars="300" w:firstLine="31680"/>
            </w:pPr>
            <w:r>
              <w:rPr>
                <w:rFonts w:cs="新細明體" w:hint="eastAsia"/>
              </w:rPr>
              <w:t>江炳倫，</w:t>
            </w:r>
            <w:r>
              <w:t>1979</w:t>
            </w:r>
            <w:r>
              <w:rPr>
                <w:rFonts w:cs="新細明體" w:hint="eastAsia"/>
              </w:rPr>
              <w:t>，《政治發展的理論》，臺北：臺灣商務印書館。</w:t>
            </w:r>
          </w:p>
          <w:p w:rsidR="00A211EB" w:rsidRPr="0095371C" w:rsidRDefault="00A211EB" w:rsidP="00A211EB">
            <w:pPr>
              <w:ind w:leftChars="300" w:left="31680"/>
            </w:pPr>
            <w:r>
              <w:t>G</w:t>
            </w:r>
            <w:r w:rsidRPr="00E9778E">
              <w:rPr>
                <w:rFonts w:eastAsia="AR MinchoL JIS"/>
              </w:rPr>
              <w:t>eorg Sorensen</w:t>
            </w:r>
            <w:r>
              <w:rPr>
                <w:rFonts w:cs="新細明體" w:hint="eastAsia"/>
              </w:rPr>
              <w:t>著，李酉潭、陳志瑋譯，黃德福主譯，</w:t>
            </w:r>
            <w:r>
              <w:t>1998</w:t>
            </w:r>
            <w:r>
              <w:rPr>
                <w:rFonts w:cs="新細明體" w:hint="eastAsia"/>
              </w:rPr>
              <w:t>，《民主與民主化》，永和：韋伯文化事業出版社。</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14</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w:t>
            </w:r>
            <w:r w:rsidRPr="00E9778E">
              <w:rPr>
                <w:rFonts w:ascii="新細明體" w:hAnsi="新細明體" w:cs="新細明體" w:hint="eastAsia"/>
              </w:rPr>
              <w:t>題：</w:t>
            </w:r>
            <w:r w:rsidRPr="00E9778E">
              <w:rPr>
                <w:rFonts w:cs="新細明體" w:hint="eastAsia"/>
                <w:b/>
                <w:bCs/>
              </w:rPr>
              <w:t>政治精英與政治發展</w:t>
            </w:r>
          </w:p>
          <w:p w:rsidR="00A211EB" w:rsidRDefault="00A211EB" w:rsidP="00A211EB">
            <w:pPr>
              <w:ind w:firstLineChars="300" w:firstLine="31680"/>
            </w:pPr>
            <w:r>
              <w:rPr>
                <w:rFonts w:cs="新細明體" w:hint="eastAsia"/>
              </w:rPr>
              <w:t>一、政治精英</w:t>
            </w:r>
          </w:p>
          <w:p w:rsidR="00A211EB" w:rsidRDefault="00A211EB" w:rsidP="00A211EB">
            <w:pPr>
              <w:ind w:firstLineChars="300" w:firstLine="31680"/>
            </w:pPr>
            <w:r>
              <w:rPr>
                <w:rFonts w:cs="新細明體" w:hint="eastAsia"/>
              </w:rPr>
              <w:t>二、政治民主化</w:t>
            </w:r>
          </w:p>
          <w:p w:rsidR="00A211EB" w:rsidRDefault="00A211EB" w:rsidP="00A211EB">
            <w:pPr>
              <w:ind w:firstLineChars="300" w:firstLine="31680"/>
            </w:pPr>
            <w:r>
              <w:rPr>
                <w:rFonts w:cs="新細明體" w:hint="eastAsia"/>
              </w:rPr>
              <w:t>三、政治精英與政治發展之關係</w:t>
            </w:r>
          </w:p>
          <w:p w:rsidR="00A211EB" w:rsidRDefault="00A211EB" w:rsidP="00E9778E">
            <w:r>
              <w:rPr>
                <w:rFonts w:cs="新細明體" w:hint="eastAsia"/>
              </w:rPr>
              <w:t>教材：呂亞力，</w:t>
            </w:r>
            <w:r>
              <w:t>1988</w:t>
            </w:r>
            <w:r>
              <w:rPr>
                <w:rFonts w:cs="新細明體" w:hint="eastAsia"/>
              </w:rPr>
              <w:t>，《政治發展與民主》，臺北：五南圖書出版公司。</w:t>
            </w:r>
          </w:p>
          <w:p w:rsidR="00A211EB" w:rsidRDefault="00A211EB" w:rsidP="00A211EB">
            <w:pPr>
              <w:ind w:left="31680" w:hangingChars="300" w:firstLine="31680"/>
            </w:pPr>
            <w:r>
              <w:tab/>
            </w:r>
            <w:r>
              <w:rPr>
                <w:rFonts w:cs="新細明體" w:hint="eastAsia"/>
              </w:rPr>
              <w:t>葛永光，</w:t>
            </w:r>
            <w:r>
              <w:t>1989</w:t>
            </w:r>
            <w:r>
              <w:rPr>
                <w:rFonts w:cs="新細明體" w:hint="eastAsia"/>
              </w:rPr>
              <w:t>，《政治變遷與發展──臺灣經驗的探索》，臺北：幼獅文化事業公司。</w:t>
            </w:r>
          </w:p>
          <w:p w:rsidR="00A211EB" w:rsidRDefault="00A211EB" w:rsidP="00A211EB">
            <w:pPr>
              <w:ind w:left="31680" w:hangingChars="300" w:firstLine="31680"/>
            </w:pPr>
            <w:r>
              <w:tab/>
            </w:r>
            <w:r>
              <w:rPr>
                <w:rFonts w:cs="新細明體" w:hint="eastAsia"/>
              </w:rPr>
              <w:t>若林正丈著，洪金珠、許佩賢譯，</w:t>
            </w:r>
            <w:r>
              <w:t>1994</w:t>
            </w:r>
            <w:r>
              <w:rPr>
                <w:rFonts w:cs="新細明體" w:hint="eastAsia"/>
              </w:rPr>
              <w:t>，《臺灣：分裂國家與民主化》，台北：月旦出版社。</w:t>
            </w:r>
          </w:p>
          <w:p w:rsidR="00A211EB" w:rsidRDefault="00A211EB" w:rsidP="00A211EB">
            <w:pPr>
              <w:ind w:leftChars="300" w:left="31680"/>
              <w:rPr>
                <w:rFonts w:eastAsia="細明體"/>
                <w:color w:val="000000"/>
              </w:rPr>
            </w:pPr>
            <w:r w:rsidRPr="00E9778E">
              <w:rPr>
                <w:rFonts w:eastAsia="細明體" w:cs="細明體" w:hint="eastAsia"/>
                <w:color w:val="000000"/>
              </w:rPr>
              <w:t>林佳龍、曾建元，</w:t>
            </w:r>
            <w:r w:rsidRPr="00E9778E">
              <w:rPr>
                <w:rFonts w:eastAsia="細明體"/>
                <w:color w:val="000000"/>
              </w:rPr>
              <w:t>2011</w:t>
            </w:r>
            <w:r w:rsidRPr="00E9778E">
              <w:rPr>
                <w:rFonts w:eastAsia="細明體" w:cs="細明體" w:hint="eastAsia"/>
                <w:color w:val="000000"/>
              </w:rPr>
              <w:t>，〈臺灣民主轉型中的菁英選擇</w:t>
            </w:r>
            <w:r w:rsidRPr="00E9778E">
              <w:rPr>
                <w:rFonts w:eastAsia="細明體"/>
                <w:color w:val="000000"/>
              </w:rPr>
              <w:t>──</w:t>
            </w:r>
            <w:r w:rsidRPr="00E9778E">
              <w:rPr>
                <w:rFonts w:eastAsia="細明體" w:cs="細明體" w:hint="eastAsia"/>
                <w:color w:val="000000"/>
              </w:rPr>
              <w:t>論蔣經國與李登輝的領導典範〉，《</w:t>
            </w:r>
            <w:r>
              <w:rPr>
                <w:rFonts w:eastAsia="細明體" w:cs="細明體" w:hint="eastAsia"/>
                <w:color w:val="000000"/>
              </w:rPr>
              <w:t>中國史研究</w:t>
            </w:r>
            <w:r w:rsidRPr="00E9778E">
              <w:rPr>
                <w:rFonts w:eastAsia="細明體" w:cs="細明體" w:hint="eastAsia"/>
                <w:color w:val="000000"/>
              </w:rPr>
              <w:t>》</w:t>
            </w:r>
            <w:r>
              <w:rPr>
                <w:rFonts w:eastAsia="細明體" w:cs="細明體" w:hint="eastAsia"/>
                <w:color w:val="000000"/>
              </w:rPr>
              <w:t>，第六十二輯，大邱：韓國中國史學會，二</w:t>
            </w:r>
            <w:r>
              <w:rPr>
                <w:rFonts w:eastAsia="細明體"/>
                <w:color w:val="000000"/>
              </w:rPr>
              <w:t>00</w:t>
            </w:r>
            <w:r>
              <w:rPr>
                <w:rFonts w:eastAsia="細明體" w:cs="細明體" w:hint="eastAsia"/>
                <w:color w:val="000000"/>
              </w:rPr>
              <w:t>一一年六月。</w:t>
            </w:r>
          </w:p>
          <w:p w:rsidR="00A211EB" w:rsidRPr="00E9778E" w:rsidRDefault="00A211EB" w:rsidP="00A211EB">
            <w:pPr>
              <w:widowControl/>
              <w:autoSpaceDE w:val="0"/>
              <w:autoSpaceDN w:val="0"/>
              <w:spacing w:line="200" w:lineRule="atLeast"/>
              <w:ind w:leftChars="300" w:left="31680"/>
              <w:jc w:val="both"/>
              <w:textAlignment w:val="bottom"/>
              <w:rPr>
                <w:rFonts w:ascii="新細明體"/>
              </w:rPr>
            </w:pP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15</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主題：</w:t>
            </w:r>
            <w:r w:rsidRPr="00E9778E">
              <w:rPr>
                <w:rFonts w:cs="新細明體" w:hint="eastAsia"/>
                <w:b/>
                <w:bCs/>
              </w:rPr>
              <w:t>憲法與公民投票</w:t>
            </w:r>
          </w:p>
          <w:p w:rsidR="00A211EB" w:rsidRDefault="00A211EB" w:rsidP="00A211EB">
            <w:pPr>
              <w:ind w:firstLineChars="300" w:firstLine="31680"/>
            </w:pPr>
            <w:r>
              <w:rPr>
                <w:rFonts w:cs="新細明體" w:hint="eastAsia"/>
              </w:rPr>
              <w:t>一、公民投票</w:t>
            </w:r>
          </w:p>
          <w:p w:rsidR="00A211EB" w:rsidRDefault="00A211EB" w:rsidP="00A211EB">
            <w:pPr>
              <w:ind w:firstLineChars="300" w:firstLine="31680"/>
            </w:pPr>
            <w:r>
              <w:rPr>
                <w:rFonts w:cs="新細明體" w:hint="eastAsia"/>
              </w:rPr>
              <w:t>二、憲法與公民投票法之建制</w:t>
            </w:r>
          </w:p>
          <w:p w:rsidR="00A211EB" w:rsidRDefault="00A211EB" w:rsidP="00A211EB">
            <w:pPr>
              <w:ind w:firstLineChars="300" w:firstLine="31680"/>
            </w:pPr>
            <w:r>
              <w:rPr>
                <w:rFonts w:cs="新細明體" w:hint="eastAsia"/>
              </w:rPr>
              <w:t>三、臺灣公民投票之法制化問題</w:t>
            </w:r>
          </w:p>
          <w:p w:rsidR="00A211EB" w:rsidRDefault="00A211EB" w:rsidP="00A211EB">
            <w:pPr>
              <w:ind w:left="31680" w:hangingChars="300" w:firstLine="31680"/>
            </w:pPr>
            <w:r>
              <w:rPr>
                <w:rFonts w:cs="新細明體" w:hint="eastAsia"/>
              </w:rPr>
              <w:t>教材：</w:t>
            </w:r>
            <w:r w:rsidRPr="00E9778E">
              <w:rPr>
                <w:rFonts w:eastAsia="AR MinchoL JIS"/>
                <w:lang w:eastAsia="ja-JP"/>
              </w:rPr>
              <w:t>David Butler&amp; Austin Ranney</w:t>
            </w:r>
            <w:r>
              <w:rPr>
                <w:rFonts w:cs="新細明體" w:hint="eastAsia"/>
              </w:rPr>
              <w:t>，吳宜容譯，</w:t>
            </w:r>
            <w:r>
              <w:t>2002</w:t>
            </w:r>
            <w:r>
              <w:rPr>
                <w:rFonts w:cs="新細明體" w:hint="eastAsia"/>
              </w:rPr>
              <w:t>，《公民投票的理論與實踐》，永和：韋伯文化事業出版社。</w:t>
            </w:r>
          </w:p>
          <w:p w:rsidR="00A211EB" w:rsidRDefault="00A211EB" w:rsidP="00A211EB">
            <w:pPr>
              <w:ind w:left="31680" w:hangingChars="300" w:firstLine="31680"/>
            </w:pPr>
            <w:r>
              <w:tab/>
            </w:r>
            <w:r>
              <w:rPr>
                <w:rFonts w:cs="新細明體" w:hint="eastAsia"/>
              </w:rPr>
              <w:t>許宗力，</w:t>
            </w:r>
            <w:r>
              <w:t>1999</w:t>
            </w:r>
            <w:r>
              <w:rPr>
                <w:rFonts w:cs="新細明體" w:hint="eastAsia"/>
              </w:rPr>
              <w:t>，〈憲法與公民投票──公投的合憲性分析與公投法的建制〉，《憲法與法治國行政》，台北：元照出版公司。</w:t>
            </w:r>
          </w:p>
          <w:p w:rsidR="00A211EB" w:rsidRPr="00E9778E" w:rsidRDefault="00A211EB" w:rsidP="00E9778E">
            <w:pPr>
              <w:rPr>
                <w:rFonts w:eastAsia="AR MinchoL JIS"/>
              </w:rPr>
            </w:pPr>
            <w:r>
              <w:tab/>
            </w:r>
            <w:r>
              <w:rPr>
                <w:rFonts w:cs="新細明體" w:hint="eastAsia"/>
              </w:rPr>
              <w:t xml:space="preserve">　蔡季廷，</w:t>
            </w:r>
            <w:r>
              <w:t>1992</w:t>
            </w:r>
            <w:r>
              <w:rPr>
                <w:rFonts w:cs="新細明體" w:hint="eastAsia"/>
              </w:rPr>
              <w:t>，〈論台灣公民投票之法制化問題──以</w:t>
            </w:r>
            <w:r>
              <w:t>R</w:t>
            </w:r>
            <w:r w:rsidRPr="00E9778E">
              <w:rPr>
                <w:rFonts w:eastAsia="AR MinchoL JIS"/>
              </w:rPr>
              <w:t>obert Dhal</w:t>
            </w:r>
          </w:p>
          <w:p w:rsidR="00A211EB" w:rsidRDefault="00A211EB" w:rsidP="00A211EB">
            <w:pPr>
              <w:ind w:firstLineChars="300" w:firstLine="31680"/>
            </w:pPr>
            <w:r>
              <w:rPr>
                <w:rFonts w:cs="新細明體" w:hint="eastAsia"/>
              </w:rPr>
              <w:t>民主程序標準為中心〉，台北：國立臺灣大學三民主義研究所碩士論文。</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16</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主題：</w:t>
            </w:r>
            <w:r w:rsidRPr="00E9778E">
              <w:rPr>
                <w:rFonts w:cs="新細明體" w:hint="eastAsia"/>
                <w:b/>
                <w:bCs/>
              </w:rPr>
              <w:t>臺灣憲法政治</w:t>
            </w:r>
          </w:p>
          <w:p w:rsidR="00A211EB" w:rsidRPr="00E9778E" w:rsidRDefault="00A211EB" w:rsidP="00E9778E">
            <w:pPr>
              <w:rPr>
                <w:b/>
                <w:bCs/>
              </w:rPr>
            </w:pPr>
            <w:r w:rsidRPr="00E9778E">
              <w:rPr>
                <w:rFonts w:cs="新細明體" w:hint="eastAsia"/>
                <w:b/>
                <w:bCs/>
              </w:rPr>
              <w:t xml:space="preserve">　　　一、動員戡亂時期修憲政治</w:t>
            </w:r>
          </w:p>
          <w:p w:rsidR="00A211EB" w:rsidRPr="00E9778E" w:rsidRDefault="00A211EB" w:rsidP="00A211EB">
            <w:pPr>
              <w:ind w:firstLineChars="300" w:firstLine="31680"/>
              <w:rPr>
                <w:b/>
                <w:bCs/>
              </w:rPr>
            </w:pPr>
            <w:r w:rsidRPr="00E9778E">
              <w:rPr>
                <w:rFonts w:cs="新細明體" w:hint="eastAsia"/>
                <w:b/>
                <w:bCs/>
              </w:rPr>
              <w:t>二、七次修憲</w:t>
            </w:r>
          </w:p>
          <w:p w:rsidR="00A211EB" w:rsidRPr="00E9778E" w:rsidRDefault="00A211EB" w:rsidP="00A211EB">
            <w:pPr>
              <w:spacing w:line="360" w:lineRule="atLeast"/>
              <w:ind w:left="31680" w:hangingChars="100" w:firstLine="31680"/>
              <w:rPr>
                <w:b/>
                <w:bCs/>
              </w:rPr>
            </w:pPr>
            <w:r>
              <w:rPr>
                <w:rFonts w:cs="新細明體" w:hint="eastAsia"/>
              </w:rPr>
              <w:t xml:space="preserve">　　　</w:t>
            </w:r>
            <w:r w:rsidRPr="00E9778E">
              <w:rPr>
                <w:rFonts w:cs="新細明體" w:hint="eastAsia"/>
                <w:b/>
                <w:bCs/>
              </w:rPr>
              <w:t>三、新憲法運動</w:t>
            </w:r>
          </w:p>
          <w:p w:rsidR="00A211EB" w:rsidRDefault="00A211EB" w:rsidP="00A211EB">
            <w:pPr>
              <w:spacing w:line="360" w:lineRule="atLeast"/>
              <w:ind w:left="31680" w:hangingChars="300" w:firstLine="31680"/>
            </w:pPr>
            <w:r>
              <w:rPr>
                <w:rFonts w:cs="新細明體" w:hint="eastAsia"/>
              </w:rPr>
              <w:t>教材：曾建元，</w:t>
            </w:r>
            <w:r>
              <w:t>2002</w:t>
            </w:r>
            <w:r>
              <w:rPr>
                <w:rFonts w:cs="新細明體" w:hint="eastAsia"/>
              </w:rPr>
              <w:t>，《一九九零年代臺灣憲政改革之研究──民族主義與民主轉型的觀點》，臺北：國立臺灣大學國家發展研究所。</w:t>
            </w:r>
          </w:p>
          <w:p w:rsidR="00A211EB" w:rsidRPr="00E9778E" w:rsidRDefault="00A211EB" w:rsidP="00A211EB">
            <w:pPr>
              <w:spacing w:line="360" w:lineRule="atLeast"/>
              <w:ind w:leftChars="300" w:left="31680"/>
              <w:rPr>
                <w:rFonts w:eastAsia="細明體"/>
                <w:color w:val="000000"/>
              </w:rPr>
            </w:pPr>
            <w:r>
              <w:rPr>
                <w:rFonts w:cs="新細明體" w:hint="eastAsia"/>
              </w:rPr>
              <w:t>曾建元，</w:t>
            </w:r>
            <w:r>
              <w:t>2012</w:t>
            </w:r>
            <w:r>
              <w:rPr>
                <w:rFonts w:cs="新細明體" w:hint="eastAsia"/>
              </w:rPr>
              <w:t>，</w:t>
            </w:r>
            <w:r w:rsidRPr="00E9778E">
              <w:rPr>
                <w:rFonts w:eastAsia="細明體" w:cs="細明體" w:hint="eastAsia"/>
                <w:color w:val="000000"/>
              </w:rPr>
              <w:t>〈中華民國歷次修憲模式之研究〉，《中國史研究》，</w:t>
            </w:r>
            <w:r w:rsidRPr="00E9778E">
              <w:rPr>
                <w:rStyle w:val="st1"/>
                <w:rFonts w:eastAsia="細明體" w:cs="細明體" w:hint="eastAsia"/>
                <w:color w:val="000000"/>
              </w:rPr>
              <w:t>第六十七輯，大邱：</w:t>
            </w:r>
            <w:r w:rsidRPr="00E9778E">
              <w:rPr>
                <w:rStyle w:val="Emphasis"/>
                <w:rFonts w:eastAsia="細明體" w:cs="細明體" w:hint="eastAsia"/>
                <w:color w:val="000000"/>
              </w:rPr>
              <w:t>韓國</w:t>
            </w:r>
            <w:r w:rsidRPr="00E9778E">
              <w:rPr>
                <w:rStyle w:val="st1"/>
                <w:rFonts w:eastAsia="細明體" w:cs="細明體" w:hint="eastAsia"/>
                <w:color w:val="000000"/>
              </w:rPr>
              <w:t>中國史學會，</w:t>
            </w:r>
            <w:r w:rsidRPr="00E9778E">
              <w:rPr>
                <w:rFonts w:eastAsia="細明體" w:cs="細明體" w:hint="eastAsia"/>
                <w:color w:val="000000"/>
              </w:rPr>
              <w:t>二零一二年二月。</w:t>
            </w:r>
          </w:p>
          <w:p w:rsidR="00A211EB" w:rsidRDefault="00A211EB" w:rsidP="00A211EB">
            <w:pPr>
              <w:ind w:leftChars="300" w:left="31680"/>
            </w:pPr>
            <w:r w:rsidRPr="00E9778E">
              <w:rPr>
                <w:rFonts w:eastAsia="細明體" w:cs="細明體" w:hint="eastAsia"/>
                <w:color w:val="000000"/>
              </w:rPr>
              <w:t>曾建元，</w:t>
            </w:r>
            <w:r w:rsidRPr="00E9778E">
              <w:rPr>
                <w:rFonts w:eastAsia="細明體"/>
                <w:color w:val="000000"/>
              </w:rPr>
              <w:t>2012</w:t>
            </w:r>
            <w:r w:rsidRPr="00E9778E">
              <w:rPr>
                <w:rFonts w:eastAsia="細明體" w:cs="細明體" w:hint="eastAsia"/>
                <w:color w:val="000000"/>
              </w:rPr>
              <w:t>，〈臺灣公民投票制度及其願景〉，《中華行政學報》，第十期，新竹：中華大學行政管理學系，民國一百零一年六月一日。</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17</w:t>
            </w:r>
            <w:r w:rsidRPr="00E9778E">
              <w:rPr>
                <w:rFonts w:cs="新細明體" w:hint="eastAsia"/>
                <w:sz w:val="26"/>
                <w:szCs w:val="26"/>
              </w:rPr>
              <w:t>週</w:t>
            </w:r>
          </w:p>
        </w:tc>
        <w:tc>
          <w:tcPr>
            <w:tcW w:w="8820" w:type="dxa"/>
            <w:gridSpan w:val="9"/>
          </w:tcPr>
          <w:p w:rsidR="00A211EB" w:rsidRPr="00E9778E" w:rsidRDefault="00A211EB" w:rsidP="00E9778E">
            <w:pPr>
              <w:rPr>
                <w:b/>
                <w:bCs/>
              </w:rPr>
            </w:pPr>
            <w:r>
              <w:rPr>
                <w:rFonts w:cs="新細明體" w:hint="eastAsia"/>
              </w:rPr>
              <w:t>主題：</w:t>
            </w:r>
            <w:r w:rsidRPr="00E9778E">
              <w:rPr>
                <w:rFonts w:cs="新細明體" w:hint="eastAsia"/>
                <w:b/>
                <w:bCs/>
              </w:rPr>
              <w:t>結論：研究憲法變遷與政治發展之未來趨勢與展望</w:t>
            </w:r>
          </w:p>
        </w:tc>
      </w:tr>
      <w:tr w:rsidR="00A211EB" w:rsidTr="00647A71">
        <w:trPr>
          <w:trHeight w:val="704"/>
        </w:trPr>
        <w:tc>
          <w:tcPr>
            <w:tcW w:w="1188" w:type="dxa"/>
          </w:tcPr>
          <w:p w:rsidR="00A211EB" w:rsidRPr="00E9778E" w:rsidRDefault="00A211EB" w:rsidP="00E9778E">
            <w:pPr>
              <w:jc w:val="center"/>
              <w:rPr>
                <w:sz w:val="26"/>
                <w:szCs w:val="26"/>
              </w:rPr>
            </w:pPr>
            <w:r w:rsidRPr="00E9778E">
              <w:rPr>
                <w:rFonts w:cs="新細明體" w:hint="eastAsia"/>
                <w:sz w:val="26"/>
                <w:szCs w:val="26"/>
              </w:rPr>
              <w:t>第</w:t>
            </w:r>
            <w:r w:rsidRPr="00E9778E">
              <w:rPr>
                <w:sz w:val="26"/>
                <w:szCs w:val="26"/>
              </w:rPr>
              <w:t>18</w:t>
            </w:r>
            <w:r w:rsidRPr="00E9778E">
              <w:rPr>
                <w:rFonts w:cs="新細明體" w:hint="eastAsia"/>
                <w:sz w:val="26"/>
                <w:szCs w:val="26"/>
              </w:rPr>
              <w:t>週</w:t>
            </w:r>
          </w:p>
        </w:tc>
        <w:tc>
          <w:tcPr>
            <w:tcW w:w="8820" w:type="dxa"/>
            <w:gridSpan w:val="9"/>
          </w:tcPr>
          <w:p w:rsidR="00A211EB" w:rsidRPr="00E9778E" w:rsidRDefault="00A211EB" w:rsidP="00E9778E">
            <w:pPr>
              <w:widowControl/>
              <w:autoSpaceDE w:val="0"/>
              <w:autoSpaceDN w:val="0"/>
              <w:spacing w:line="200" w:lineRule="atLeast"/>
              <w:jc w:val="both"/>
              <w:textAlignment w:val="bottom"/>
              <w:rPr>
                <w:rFonts w:ascii="新細明體"/>
              </w:rPr>
            </w:pPr>
            <w:r>
              <w:rPr>
                <w:rFonts w:cs="新細明體" w:hint="eastAsia"/>
              </w:rPr>
              <w:t>主</w:t>
            </w:r>
            <w:r w:rsidRPr="00E9778E">
              <w:rPr>
                <w:rFonts w:ascii="新細明體" w:hAnsi="新細明體" w:cs="新細明體" w:hint="eastAsia"/>
              </w:rPr>
              <w:t>題：期末報告</w:t>
            </w:r>
          </w:p>
        </w:tc>
      </w:tr>
    </w:tbl>
    <w:p w:rsidR="00A211EB" w:rsidRDefault="00A211EB" w:rsidP="003349CA">
      <w:pPr>
        <w:tabs>
          <w:tab w:val="left" w:pos="2130"/>
        </w:tabs>
      </w:pPr>
    </w:p>
    <w:sectPr w:rsidR="00A211EB" w:rsidSect="007E354B">
      <w:pgSz w:w="11906" w:h="16838"/>
      <w:pgMar w:top="851"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1EB" w:rsidRDefault="00A211EB" w:rsidP="00842029">
      <w:r>
        <w:separator/>
      </w:r>
    </w:p>
  </w:endnote>
  <w:endnote w:type="continuationSeparator" w:id="0">
    <w:p w:rsidR="00A211EB" w:rsidRDefault="00A211EB" w:rsidP="00842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 MinchoL JIS">
    <w:altName w:val="MS Gothic"/>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1EB" w:rsidRDefault="00A211EB" w:rsidP="00842029">
      <w:r>
        <w:separator/>
      </w:r>
    </w:p>
  </w:footnote>
  <w:footnote w:type="continuationSeparator" w:id="0">
    <w:p w:rsidR="00A211EB" w:rsidRDefault="00A211EB" w:rsidP="00842029">
      <w:r>
        <w:continuationSeparator/>
      </w:r>
    </w:p>
  </w:footnote>
  <w:footnote w:id="1">
    <w:p w:rsidR="00A211EB" w:rsidRDefault="00A211EB">
      <w:pPr>
        <w:pStyle w:val="FootnoteText"/>
      </w:pPr>
      <w:r>
        <w:rPr>
          <w:rStyle w:val="FootnoteReference"/>
        </w:rPr>
        <w:footnoteRef/>
      </w:r>
      <w:r>
        <w:t xml:space="preserve"> </w:t>
      </w:r>
      <w:r>
        <w:rPr>
          <w:rFonts w:cs="新細明體" w:hint="eastAsia"/>
        </w:rPr>
        <w:t>請參閱該書中的第一講：憲法與憲法學，頁</w:t>
      </w:r>
      <w:r>
        <w:t>1-12</w:t>
      </w:r>
      <w:r>
        <w:rPr>
          <w:rFonts w:cs="新細明體" w:hint="eastAsia"/>
        </w:rPr>
        <w:t>；第二講：憲法的基本概念，頁</w:t>
      </w:r>
      <w:r>
        <w:t>13-31</w:t>
      </w:r>
      <w:r>
        <w:rPr>
          <w:rFonts w:cs="新細明體" w:hint="eastAsia"/>
        </w:rPr>
        <w:t>；第三講：憲法與國家，頁</w:t>
      </w:r>
      <w:r>
        <w:t>33-44</w:t>
      </w:r>
      <w:r>
        <w:rPr>
          <w:rFonts w:cs="新細明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7C7D"/>
    <w:multiLevelType w:val="hybridMultilevel"/>
    <w:tmpl w:val="9B9E74D4"/>
    <w:lvl w:ilvl="0" w:tplc="18E8EB72">
      <w:start w:val="1"/>
      <w:numFmt w:val="taiwaneseCountingThousand"/>
      <w:lvlText w:val="%1、"/>
      <w:lvlJc w:val="left"/>
      <w:pPr>
        <w:tabs>
          <w:tab w:val="num" w:pos="2400"/>
        </w:tabs>
        <w:ind w:left="2400" w:hanging="480"/>
      </w:pPr>
      <w:rPr>
        <w:rFonts w:hint="eastAsia"/>
      </w:rPr>
    </w:lvl>
    <w:lvl w:ilvl="1" w:tplc="69DC92D6">
      <w:start w:val="1"/>
      <w:numFmt w:val="decimal"/>
      <w:lvlText w:val="%2、"/>
      <w:lvlJc w:val="left"/>
      <w:pPr>
        <w:tabs>
          <w:tab w:val="num" w:pos="2760"/>
        </w:tabs>
        <w:ind w:left="2760" w:hanging="360"/>
      </w:pPr>
      <w:rPr>
        <w:rFonts w:hint="eastAsia"/>
      </w:rPr>
    </w:lvl>
    <w:lvl w:ilvl="2" w:tplc="512A0DF2">
      <w:start w:val="1"/>
      <w:numFmt w:val="taiwaneseCountingThousand"/>
      <w:lvlText w:val="（%3）"/>
      <w:lvlJc w:val="left"/>
      <w:pPr>
        <w:tabs>
          <w:tab w:val="num" w:pos="3600"/>
        </w:tabs>
        <w:ind w:left="3600" w:hanging="720"/>
      </w:pPr>
      <w:rPr>
        <w:rFonts w:hint="eastAsia"/>
      </w:r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start w:val="1"/>
      <w:numFmt w:val="lowerRoman"/>
      <w:lvlText w:val="%6."/>
      <w:lvlJc w:val="right"/>
      <w:pPr>
        <w:tabs>
          <w:tab w:val="num" w:pos="4800"/>
        </w:tabs>
        <w:ind w:left="4800" w:hanging="480"/>
      </w:pPr>
    </w:lvl>
    <w:lvl w:ilvl="6" w:tplc="0409000F">
      <w:start w:val="1"/>
      <w:numFmt w:val="decimal"/>
      <w:lvlText w:val="%7."/>
      <w:lvlJc w:val="left"/>
      <w:pPr>
        <w:tabs>
          <w:tab w:val="num" w:pos="5280"/>
        </w:tabs>
        <w:ind w:left="5280" w:hanging="480"/>
      </w:pPr>
    </w:lvl>
    <w:lvl w:ilvl="7" w:tplc="04090019">
      <w:start w:val="1"/>
      <w:numFmt w:val="ideographTraditional"/>
      <w:lvlText w:val="%8、"/>
      <w:lvlJc w:val="left"/>
      <w:pPr>
        <w:tabs>
          <w:tab w:val="num" w:pos="5760"/>
        </w:tabs>
        <w:ind w:left="5760" w:hanging="480"/>
      </w:pPr>
    </w:lvl>
    <w:lvl w:ilvl="8" w:tplc="0409001B">
      <w:start w:val="1"/>
      <w:numFmt w:val="lowerRoman"/>
      <w:lvlText w:val="%9."/>
      <w:lvlJc w:val="right"/>
      <w:pPr>
        <w:tabs>
          <w:tab w:val="num" w:pos="6240"/>
        </w:tabs>
        <w:ind w:left="6240" w:hanging="480"/>
      </w:pPr>
    </w:lvl>
  </w:abstractNum>
  <w:abstractNum w:abstractNumId="1">
    <w:nsid w:val="2A60596B"/>
    <w:multiLevelType w:val="singleLevel"/>
    <w:tmpl w:val="36C2F73A"/>
    <w:lvl w:ilvl="0">
      <w:start w:val="1"/>
      <w:numFmt w:val="taiwaneseCountingThousand"/>
      <w:lvlText w:val="(%1)"/>
      <w:legacy w:legacy="1" w:legacySpace="0" w:legacyIndent="480"/>
      <w:lvlJc w:val="left"/>
      <w:pPr>
        <w:ind w:left="480" w:hanging="480"/>
      </w:pPr>
      <w:rPr>
        <w:rFonts w:ascii="標楷體" w:eastAsia="標楷體" w:hint="eastAsia"/>
        <w:b w:val="0"/>
        <w:bCs w:val="0"/>
        <w:i w:val="0"/>
        <w:iCs w:val="0"/>
        <w:sz w:val="24"/>
        <w:szCs w:val="24"/>
        <w:u w:val="none"/>
      </w:rPr>
    </w:lvl>
  </w:abstractNum>
  <w:abstractNum w:abstractNumId="2">
    <w:nsid w:val="2B6A3175"/>
    <w:multiLevelType w:val="hybridMultilevel"/>
    <w:tmpl w:val="18EC7164"/>
    <w:lvl w:ilvl="0" w:tplc="9118F3FA">
      <w:start w:val="1"/>
      <w:numFmt w:val="taiwaneseCountingThousand"/>
      <w:lvlText w:val="%1、"/>
      <w:lvlJc w:val="left"/>
      <w:pPr>
        <w:tabs>
          <w:tab w:val="num" w:pos="2400"/>
        </w:tabs>
        <w:ind w:left="2400" w:hanging="480"/>
      </w:pPr>
      <w:rPr>
        <w:rFonts w:hint="eastAsia"/>
      </w:rPr>
    </w:lvl>
    <w:lvl w:ilvl="1" w:tplc="22C42468">
      <w:start w:val="1"/>
      <w:numFmt w:val="taiwaneseCountingThousand"/>
      <w:lvlText w:val="%2、"/>
      <w:lvlJc w:val="left"/>
      <w:pPr>
        <w:tabs>
          <w:tab w:val="num" w:pos="2880"/>
        </w:tabs>
        <w:ind w:left="2880" w:hanging="480"/>
      </w:pPr>
      <w:rPr>
        <w:rFonts w:hint="eastAsia"/>
      </w:rPr>
    </w:lvl>
    <w:lvl w:ilvl="2" w:tplc="7162495C">
      <w:start w:val="1"/>
      <w:numFmt w:val="taiwaneseCountingThousand"/>
      <w:lvlText w:val="（%3）"/>
      <w:lvlJc w:val="left"/>
      <w:pPr>
        <w:tabs>
          <w:tab w:val="num" w:pos="3600"/>
        </w:tabs>
        <w:ind w:left="3600" w:hanging="720"/>
      </w:pPr>
      <w:rPr>
        <w:rFonts w:hint="eastAsia"/>
      </w:r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start w:val="1"/>
      <w:numFmt w:val="lowerRoman"/>
      <w:lvlText w:val="%6."/>
      <w:lvlJc w:val="right"/>
      <w:pPr>
        <w:tabs>
          <w:tab w:val="num" w:pos="4800"/>
        </w:tabs>
        <w:ind w:left="4800" w:hanging="480"/>
      </w:pPr>
    </w:lvl>
    <w:lvl w:ilvl="6" w:tplc="0409000F">
      <w:start w:val="1"/>
      <w:numFmt w:val="decimal"/>
      <w:lvlText w:val="%7."/>
      <w:lvlJc w:val="left"/>
      <w:pPr>
        <w:tabs>
          <w:tab w:val="num" w:pos="5280"/>
        </w:tabs>
        <w:ind w:left="5280" w:hanging="480"/>
      </w:pPr>
    </w:lvl>
    <w:lvl w:ilvl="7" w:tplc="04090019">
      <w:start w:val="1"/>
      <w:numFmt w:val="ideographTraditional"/>
      <w:lvlText w:val="%8、"/>
      <w:lvlJc w:val="left"/>
      <w:pPr>
        <w:tabs>
          <w:tab w:val="num" w:pos="5760"/>
        </w:tabs>
        <w:ind w:left="5760" w:hanging="480"/>
      </w:pPr>
    </w:lvl>
    <w:lvl w:ilvl="8" w:tplc="0409001B">
      <w:start w:val="1"/>
      <w:numFmt w:val="lowerRoman"/>
      <w:lvlText w:val="%9."/>
      <w:lvlJc w:val="right"/>
      <w:pPr>
        <w:tabs>
          <w:tab w:val="num" w:pos="6240"/>
        </w:tabs>
        <w:ind w:left="6240" w:hanging="480"/>
      </w:pPr>
    </w:lvl>
  </w:abstractNum>
  <w:abstractNum w:abstractNumId="3">
    <w:nsid w:val="2D85012C"/>
    <w:multiLevelType w:val="hybridMultilevel"/>
    <w:tmpl w:val="E5463BA6"/>
    <w:lvl w:ilvl="0" w:tplc="1DD02BAC">
      <w:start w:val="1"/>
      <w:numFmt w:val="taiwaneseCountingThousand"/>
      <w:lvlText w:val="%1、"/>
      <w:lvlJc w:val="left"/>
      <w:pPr>
        <w:tabs>
          <w:tab w:val="num" w:pos="2400"/>
        </w:tabs>
        <w:ind w:left="2400" w:hanging="480"/>
      </w:pPr>
      <w:rPr>
        <w:rFonts w:hint="eastAsia"/>
      </w:rPr>
    </w:lvl>
    <w:lvl w:ilvl="1" w:tplc="04090019">
      <w:start w:val="1"/>
      <w:numFmt w:val="ideographTraditional"/>
      <w:lvlText w:val="%2、"/>
      <w:lvlJc w:val="left"/>
      <w:pPr>
        <w:tabs>
          <w:tab w:val="num" w:pos="2880"/>
        </w:tabs>
        <w:ind w:left="2880"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start w:val="1"/>
      <w:numFmt w:val="lowerRoman"/>
      <w:lvlText w:val="%6."/>
      <w:lvlJc w:val="right"/>
      <w:pPr>
        <w:tabs>
          <w:tab w:val="num" w:pos="4800"/>
        </w:tabs>
        <w:ind w:left="4800" w:hanging="480"/>
      </w:pPr>
    </w:lvl>
    <w:lvl w:ilvl="6" w:tplc="0409000F">
      <w:start w:val="1"/>
      <w:numFmt w:val="decimal"/>
      <w:lvlText w:val="%7."/>
      <w:lvlJc w:val="left"/>
      <w:pPr>
        <w:tabs>
          <w:tab w:val="num" w:pos="5280"/>
        </w:tabs>
        <w:ind w:left="5280" w:hanging="480"/>
      </w:pPr>
    </w:lvl>
    <w:lvl w:ilvl="7" w:tplc="04090019">
      <w:start w:val="1"/>
      <w:numFmt w:val="ideographTraditional"/>
      <w:lvlText w:val="%8、"/>
      <w:lvlJc w:val="left"/>
      <w:pPr>
        <w:tabs>
          <w:tab w:val="num" w:pos="5760"/>
        </w:tabs>
        <w:ind w:left="5760" w:hanging="480"/>
      </w:pPr>
    </w:lvl>
    <w:lvl w:ilvl="8" w:tplc="0409001B">
      <w:start w:val="1"/>
      <w:numFmt w:val="lowerRoman"/>
      <w:lvlText w:val="%9."/>
      <w:lvlJc w:val="right"/>
      <w:pPr>
        <w:tabs>
          <w:tab w:val="num" w:pos="6240"/>
        </w:tabs>
        <w:ind w:left="6240" w:hanging="480"/>
      </w:pPr>
    </w:lvl>
  </w:abstractNum>
  <w:abstractNum w:abstractNumId="4">
    <w:nsid w:val="2DD57CEA"/>
    <w:multiLevelType w:val="hybridMultilevel"/>
    <w:tmpl w:val="E9588EEA"/>
    <w:lvl w:ilvl="0" w:tplc="07BC1D3C">
      <w:start w:val="1"/>
      <w:numFmt w:val="taiwaneseCountingThousand"/>
      <w:lvlText w:val="%1、"/>
      <w:lvlJc w:val="left"/>
      <w:pPr>
        <w:ind w:left="510" w:hanging="510"/>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54DF275B"/>
    <w:multiLevelType w:val="hybridMultilevel"/>
    <w:tmpl w:val="38BCEB9E"/>
    <w:lvl w:ilvl="0" w:tplc="95FA1696">
      <w:start w:val="1"/>
      <w:numFmt w:val="taiwaneseCountingThousand"/>
      <w:lvlText w:val="%1、"/>
      <w:lvlJc w:val="left"/>
      <w:pPr>
        <w:tabs>
          <w:tab w:val="num" w:pos="2400"/>
        </w:tabs>
        <w:ind w:left="2400" w:hanging="480"/>
      </w:pPr>
      <w:rPr>
        <w:rFonts w:hint="eastAsia"/>
      </w:rPr>
    </w:lvl>
    <w:lvl w:ilvl="1" w:tplc="8FEA71CA">
      <w:start w:val="1"/>
      <w:numFmt w:val="decimal"/>
      <w:lvlText w:val="%2、"/>
      <w:lvlJc w:val="left"/>
      <w:pPr>
        <w:tabs>
          <w:tab w:val="num" w:pos="2760"/>
        </w:tabs>
        <w:ind w:left="2760" w:hanging="360"/>
      </w:pPr>
      <w:rPr>
        <w:rFonts w:hint="eastAsia"/>
      </w:r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start w:val="1"/>
      <w:numFmt w:val="lowerRoman"/>
      <w:lvlText w:val="%6."/>
      <w:lvlJc w:val="right"/>
      <w:pPr>
        <w:tabs>
          <w:tab w:val="num" w:pos="4800"/>
        </w:tabs>
        <w:ind w:left="4800" w:hanging="480"/>
      </w:pPr>
    </w:lvl>
    <w:lvl w:ilvl="6" w:tplc="0409000F">
      <w:start w:val="1"/>
      <w:numFmt w:val="decimal"/>
      <w:lvlText w:val="%7."/>
      <w:lvlJc w:val="left"/>
      <w:pPr>
        <w:tabs>
          <w:tab w:val="num" w:pos="5280"/>
        </w:tabs>
        <w:ind w:left="5280" w:hanging="480"/>
      </w:pPr>
    </w:lvl>
    <w:lvl w:ilvl="7" w:tplc="04090019">
      <w:start w:val="1"/>
      <w:numFmt w:val="ideographTraditional"/>
      <w:lvlText w:val="%8、"/>
      <w:lvlJc w:val="left"/>
      <w:pPr>
        <w:tabs>
          <w:tab w:val="num" w:pos="5760"/>
        </w:tabs>
        <w:ind w:left="5760" w:hanging="480"/>
      </w:pPr>
    </w:lvl>
    <w:lvl w:ilvl="8" w:tplc="0409001B">
      <w:start w:val="1"/>
      <w:numFmt w:val="lowerRoman"/>
      <w:lvlText w:val="%9."/>
      <w:lvlJc w:val="right"/>
      <w:pPr>
        <w:tabs>
          <w:tab w:val="num" w:pos="6240"/>
        </w:tabs>
        <w:ind w:left="6240" w:hanging="480"/>
      </w:pPr>
    </w:lvl>
  </w:abstractNum>
  <w:abstractNum w:abstractNumId="6">
    <w:nsid w:val="7DF2703F"/>
    <w:multiLevelType w:val="hybridMultilevel"/>
    <w:tmpl w:val="E2AECDD2"/>
    <w:lvl w:ilvl="0" w:tplc="4E3A70CE">
      <w:start w:val="1"/>
      <w:numFmt w:val="taiwaneseCountingThousand"/>
      <w:lvlText w:val="%1、"/>
      <w:lvlJc w:val="left"/>
      <w:pPr>
        <w:tabs>
          <w:tab w:val="num" w:pos="2400"/>
        </w:tabs>
        <w:ind w:left="2400" w:hanging="480"/>
      </w:pPr>
      <w:rPr>
        <w:rFonts w:hint="eastAsia"/>
      </w:rPr>
    </w:lvl>
    <w:lvl w:ilvl="1" w:tplc="7BB67F5C">
      <w:start w:val="1"/>
      <w:numFmt w:val="decimal"/>
      <w:lvlText w:val="%2、"/>
      <w:lvlJc w:val="left"/>
      <w:pPr>
        <w:tabs>
          <w:tab w:val="num" w:pos="2760"/>
        </w:tabs>
        <w:ind w:left="2760" w:hanging="360"/>
      </w:pPr>
      <w:rPr>
        <w:rFonts w:hint="eastAsia"/>
      </w:r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start w:val="1"/>
      <w:numFmt w:val="lowerRoman"/>
      <w:lvlText w:val="%6."/>
      <w:lvlJc w:val="right"/>
      <w:pPr>
        <w:tabs>
          <w:tab w:val="num" w:pos="4800"/>
        </w:tabs>
        <w:ind w:left="4800" w:hanging="480"/>
      </w:pPr>
    </w:lvl>
    <w:lvl w:ilvl="6" w:tplc="0409000F">
      <w:start w:val="1"/>
      <w:numFmt w:val="decimal"/>
      <w:lvlText w:val="%7."/>
      <w:lvlJc w:val="left"/>
      <w:pPr>
        <w:tabs>
          <w:tab w:val="num" w:pos="5280"/>
        </w:tabs>
        <w:ind w:left="5280" w:hanging="480"/>
      </w:pPr>
    </w:lvl>
    <w:lvl w:ilvl="7" w:tplc="04090019">
      <w:start w:val="1"/>
      <w:numFmt w:val="ideographTraditional"/>
      <w:lvlText w:val="%8、"/>
      <w:lvlJc w:val="left"/>
      <w:pPr>
        <w:tabs>
          <w:tab w:val="num" w:pos="5760"/>
        </w:tabs>
        <w:ind w:left="5760" w:hanging="480"/>
      </w:pPr>
    </w:lvl>
    <w:lvl w:ilvl="8" w:tplc="0409001B">
      <w:start w:val="1"/>
      <w:numFmt w:val="lowerRoman"/>
      <w:lvlText w:val="%9."/>
      <w:lvlJc w:val="right"/>
      <w:pPr>
        <w:tabs>
          <w:tab w:val="num" w:pos="6240"/>
        </w:tabs>
        <w:ind w:left="6240" w:hanging="48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CE1"/>
    <w:rsid w:val="0008194D"/>
    <w:rsid w:val="000B3994"/>
    <w:rsid w:val="000C7C6D"/>
    <w:rsid w:val="000D557E"/>
    <w:rsid w:val="000F7ED9"/>
    <w:rsid w:val="001428B7"/>
    <w:rsid w:val="00144A94"/>
    <w:rsid w:val="00194ED3"/>
    <w:rsid w:val="0021238C"/>
    <w:rsid w:val="002146E8"/>
    <w:rsid w:val="002B56FD"/>
    <w:rsid w:val="002B705D"/>
    <w:rsid w:val="003349CA"/>
    <w:rsid w:val="0037302E"/>
    <w:rsid w:val="003D1ED0"/>
    <w:rsid w:val="003F1CE1"/>
    <w:rsid w:val="00413C62"/>
    <w:rsid w:val="0046365A"/>
    <w:rsid w:val="00494651"/>
    <w:rsid w:val="00501273"/>
    <w:rsid w:val="00522F6A"/>
    <w:rsid w:val="00530CB8"/>
    <w:rsid w:val="0056507E"/>
    <w:rsid w:val="0057547E"/>
    <w:rsid w:val="00647A71"/>
    <w:rsid w:val="0065690F"/>
    <w:rsid w:val="006761F3"/>
    <w:rsid w:val="00680F25"/>
    <w:rsid w:val="006C5BF3"/>
    <w:rsid w:val="00744BC5"/>
    <w:rsid w:val="007726AF"/>
    <w:rsid w:val="00786754"/>
    <w:rsid w:val="007C6CD3"/>
    <w:rsid w:val="007E354B"/>
    <w:rsid w:val="007E395B"/>
    <w:rsid w:val="00842029"/>
    <w:rsid w:val="00853120"/>
    <w:rsid w:val="008C62F8"/>
    <w:rsid w:val="009204C9"/>
    <w:rsid w:val="00942631"/>
    <w:rsid w:val="0095371C"/>
    <w:rsid w:val="00970778"/>
    <w:rsid w:val="00972CB9"/>
    <w:rsid w:val="009A27C8"/>
    <w:rsid w:val="009D31A8"/>
    <w:rsid w:val="00A211EB"/>
    <w:rsid w:val="00A360DF"/>
    <w:rsid w:val="00A3653A"/>
    <w:rsid w:val="00AC78AE"/>
    <w:rsid w:val="00B00061"/>
    <w:rsid w:val="00B926A3"/>
    <w:rsid w:val="00B9284F"/>
    <w:rsid w:val="00C459EA"/>
    <w:rsid w:val="00C667BE"/>
    <w:rsid w:val="00C90F93"/>
    <w:rsid w:val="00CA7F5D"/>
    <w:rsid w:val="00CC69BB"/>
    <w:rsid w:val="00D10B6D"/>
    <w:rsid w:val="00D866CF"/>
    <w:rsid w:val="00D86B5D"/>
    <w:rsid w:val="00D926A5"/>
    <w:rsid w:val="00DB4C11"/>
    <w:rsid w:val="00DD6E03"/>
    <w:rsid w:val="00E15CFA"/>
    <w:rsid w:val="00E322F7"/>
    <w:rsid w:val="00E9778E"/>
    <w:rsid w:val="00EA3BD2"/>
    <w:rsid w:val="00EB455B"/>
    <w:rsid w:val="00F762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5D"/>
    <w:pPr>
      <w:widowControl w:val="0"/>
    </w:pPr>
    <w:rPr>
      <w:szCs w:val="24"/>
    </w:rPr>
  </w:style>
  <w:style w:type="paragraph" w:styleId="Heading1">
    <w:name w:val="heading 1"/>
    <w:basedOn w:val="Normal"/>
    <w:next w:val="Normal"/>
    <w:link w:val="Heading1Char"/>
    <w:uiPriority w:val="99"/>
    <w:qFormat/>
    <w:rsid w:val="003D1ED0"/>
    <w:pPr>
      <w:keepNext/>
      <w:autoSpaceDE w:val="0"/>
      <w:autoSpaceDN w:val="0"/>
      <w:adjustRightInd w:val="0"/>
      <w:ind w:firstLine="480"/>
      <w:outlineLvl w:val="0"/>
    </w:pPr>
    <w:rPr>
      <w:rFonts w:eastAsia="細明體"/>
      <w:kern w:val="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D5E"/>
    <w:rPr>
      <w:rFonts w:asciiTheme="majorHAnsi" w:eastAsiaTheme="majorEastAsia" w:hAnsiTheme="majorHAnsi" w:cstheme="majorBidi"/>
      <w:b/>
      <w:bCs/>
      <w:kern w:val="52"/>
      <w:sz w:val="52"/>
      <w:szCs w:val="52"/>
    </w:rPr>
  </w:style>
  <w:style w:type="table" w:styleId="TableGrid">
    <w:name w:val="Table Grid"/>
    <w:basedOn w:val="TableNormal"/>
    <w:uiPriority w:val="99"/>
    <w:rsid w:val="003F1CE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926A3"/>
    <w:pPr>
      <w:widowControl/>
      <w:spacing w:before="100" w:beforeAutospacing="1" w:after="100" w:afterAutospacing="1"/>
    </w:pPr>
    <w:rPr>
      <w:rFonts w:ascii="新細明體" w:hAnsi="新細明體" w:cs="新細明體"/>
      <w:color w:val="000000"/>
      <w:kern w:val="0"/>
    </w:rPr>
  </w:style>
  <w:style w:type="paragraph" w:styleId="BodyText">
    <w:name w:val="Body Text"/>
    <w:basedOn w:val="Normal"/>
    <w:link w:val="BodyTextChar"/>
    <w:uiPriority w:val="99"/>
    <w:rsid w:val="0056507E"/>
    <w:pPr>
      <w:autoSpaceDE w:val="0"/>
      <w:autoSpaceDN w:val="0"/>
      <w:adjustRightInd w:val="0"/>
      <w:jc w:val="both"/>
    </w:pPr>
    <w:rPr>
      <w:rFonts w:ascii="細明體" w:eastAsia="細明體" w:cs="細明體"/>
      <w:kern w:val="0"/>
    </w:rPr>
  </w:style>
  <w:style w:type="character" w:customStyle="1" w:styleId="BodyTextChar">
    <w:name w:val="Body Text Char"/>
    <w:basedOn w:val="DefaultParagraphFont"/>
    <w:link w:val="BodyText"/>
    <w:uiPriority w:val="99"/>
    <w:semiHidden/>
    <w:rsid w:val="00952D5E"/>
    <w:rPr>
      <w:szCs w:val="24"/>
    </w:rPr>
  </w:style>
  <w:style w:type="paragraph" w:styleId="Header">
    <w:name w:val="header"/>
    <w:basedOn w:val="Normal"/>
    <w:link w:val="HeaderChar"/>
    <w:uiPriority w:val="99"/>
    <w:rsid w:val="0084202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42029"/>
    <w:rPr>
      <w:kern w:val="2"/>
    </w:rPr>
  </w:style>
  <w:style w:type="paragraph" w:styleId="Footer">
    <w:name w:val="footer"/>
    <w:basedOn w:val="Normal"/>
    <w:link w:val="FooterChar"/>
    <w:uiPriority w:val="99"/>
    <w:rsid w:val="008420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42029"/>
    <w:rPr>
      <w:kern w:val="2"/>
    </w:rPr>
  </w:style>
  <w:style w:type="character" w:customStyle="1" w:styleId="st1">
    <w:name w:val="st1"/>
    <w:basedOn w:val="DefaultParagraphFont"/>
    <w:uiPriority w:val="99"/>
    <w:rsid w:val="0021238C"/>
    <w:rPr>
      <w:spacing w:val="240"/>
    </w:rPr>
  </w:style>
  <w:style w:type="character" w:styleId="Emphasis">
    <w:name w:val="Emphasis"/>
    <w:basedOn w:val="DefaultParagraphFont"/>
    <w:uiPriority w:val="99"/>
    <w:qFormat/>
    <w:rsid w:val="0021238C"/>
    <w:rPr>
      <w:color w:val="auto"/>
    </w:rPr>
  </w:style>
  <w:style w:type="paragraph" w:styleId="FootnoteText">
    <w:name w:val="footnote text"/>
    <w:basedOn w:val="Normal"/>
    <w:link w:val="FootnoteTextChar"/>
    <w:uiPriority w:val="99"/>
    <w:semiHidden/>
    <w:rsid w:val="0095371C"/>
    <w:pPr>
      <w:snapToGrid w:val="0"/>
    </w:pPr>
    <w:rPr>
      <w:sz w:val="20"/>
      <w:szCs w:val="20"/>
    </w:rPr>
  </w:style>
  <w:style w:type="character" w:customStyle="1" w:styleId="FootnoteTextChar">
    <w:name w:val="Footnote Text Char"/>
    <w:basedOn w:val="DefaultParagraphFont"/>
    <w:link w:val="FootnoteText"/>
    <w:uiPriority w:val="99"/>
    <w:locked/>
    <w:rsid w:val="0095371C"/>
    <w:rPr>
      <w:kern w:val="2"/>
    </w:rPr>
  </w:style>
  <w:style w:type="character" w:styleId="FootnoteReference">
    <w:name w:val="footnote reference"/>
    <w:basedOn w:val="DefaultParagraphFont"/>
    <w:uiPriority w:val="99"/>
    <w:semiHidden/>
    <w:rsid w:val="0095371C"/>
    <w:rPr>
      <w:vertAlign w:val="superscript"/>
    </w:rPr>
  </w:style>
  <w:style w:type="paragraph" w:customStyle="1" w:styleId="yiv847995770msonormal">
    <w:name w:val="yiv847995770msonormal"/>
    <w:basedOn w:val="Normal"/>
    <w:uiPriority w:val="99"/>
    <w:rsid w:val="00647A71"/>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767777941">
      <w:marLeft w:val="0"/>
      <w:marRight w:val="0"/>
      <w:marTop w:val="0"/>
      <w:marBottom w:val="0"/>
      <w:divBdr>
        <w:top w:val="none" w:sz="0" w:space="0" w:color="auto"/>
        <w:left w:val="none" w:sz="0" w:space="0" w:color="auto"/>
        <w:bottom w:val="none" w:sz="0" w:space="0" w:color="auto"/>
        <w:right w:val="none" w:sz="0" w:space="0" w:color="auto"/>
      </w:divBdr>
    </w:div>
    <w:div w:id="767777943">
      <w:marLeft w:val="0"/>
      <w:marRight w:val="0"/>
      <w:marTop w:val="0"/>
      <w:marBottom w:val="0"/>
      <w:divBdr>
        <w:top w:val="none" w:sz="0" w:space="0" w:color="auto"/>
        <w:left w:val="none" w:sz="0" w:space="0" w:color="auto"/>
        <w:bottom w:val="none" w:sz="0" w:space="0" w:color="auto"/>
        <w:right w:val="none" w:sz="0" w:space="0" w:color="auto"/>
      </w:divBdr>
      <w:divsChild>
        <w:div w:id="767777982">
          <w:marLeft w:val="0"/>
          <w:marRight w:val="0"/>
          <w:marTop w:val="0"/>
          <w:marBottom w:val="0"/>
          <w:divBdr>
            <w:top w:val="none" w:sz="0" w:space="0" w:color="auto"/>
            <w:left w:val="none" w:sz="0" w:space="0" w:color="auto"/>
            <w:bottom w:val="none" w:sz="0" w:space="0" w:color="auto"/>
            <w:right w:val="none" w:sz="0" w:space="0" w:color="auto"/>
          </w:divBdr>
        </w:div>
      </w:divsChild>
    </w:div>
    <w:div w:id="767777944">
      <w:marLeft w:val="0"/>
      <w:marRight w:val="0"/>
      <w:marTop w:val="0"/>
      <w:marBottom w:val="0"/>
      <w:divBdr>
        <w:top w:val="none" w:sz="0" w:space="0" w:color="auto"/>
        <w:left w:val="none" w:sz="0" w:space="0" w:color="auto"/>
        <w:bottom w:val="none" w:sz="0" w:space="0" w:color="auto"/>
        <w:right w:val="none" w:sz="0" w:space="0" w:color="auto"/>
      </w:divBdr>
    </w:div>
    <w:div w:id="767777946">
      <w:marLeft w:val="0"/>
      <w:marRight w:val="0"/>
      <w:marTop w:val="0"/>
      <w:marBottom w:val="0"/>
      <w:divBdr>
        <w:top w:val="none" w:sz="0" w:space="0" w:color="auto"/>
        <w:left w:val="none" w:sz="0" w:space="0" w:color="auto"/>
        <w:bottom w:val="none" w:sz="0" w:space="0" w:color="auto"/>
        <w:right w:val="none" w:sz="0" w:space="0" w:color="auto"/>
      </w:divBdr>
      <w:divsChild>
        <w:div w:id="767777942">
          <w:marLeft w:val="0"/>
          <w:marRight w:val="0"/>
          <w:marTop w:val="0"/>
          <w:marBottom w:val="0"/>
          <w:divBdr>
            <w:top w:val="none" w:sz="0" w:space="0" w:color="auto"/>
            <w:left w:val="none" w:sz="0" w:space="0" w:color="auto"/>
            <w:bottom w:val="none" w:sz="0" w:space="0" w:color="auto"/>
            <w:right w:val="none" w:sz="0" w:space="0" w:color="auto"/>
          </w:divBdr>
        </w:div>
      </w:divsChild>
    </w:div>
    <w:div w:id="767777948">
      <w:marLeft w:val="0"/>
      <w:marRight w:val="0"/>
      <w:marTop w:val="0"/>
      <w:marBottom w:val="0"/>
      <w:divBdr>
        <w:top w:val="none" w:sz="0" w:space="0" w:color="auto"/>
        <w:left w:val="none" w:sz="0" w:space="0" w:color="auto"/>
        <w:bottom w:val="none" w:sz="0" w:space="0" w:color="auto"/>
        <w:right w:val="none" w:sz="0" w:space="0" w:color="auto"/>
      </w:divBdr>
      <w:divsChild>
        <w:div w:id="767777947">
          <w:marLeft w:val="0"/>
          <w:marRight w:val="0"/>
          <w:marTop w:val="0"/>
          <w:marBottom w:val="0"/>
          <w:divBdr>
            <w:top w:val="none" w:sz="0" w:space="0" w:color="auto"/>
            <w:left w:val="none" w:sz="0" w:space="0" w:color="auto"/>
            <w:bottom w:val="none" w:sz="0" w:space="0" w:color="auto"/>
            <w:right w:val="none" w:sz="0" w:space="0" w:color="auto"/>
          </w:divBdr>
        </w:div>
      </w:divsChild>
    </w:div>
    <w:div w:id="767777949">
      <w:marLeft w:val="0"/>
      <w:marRight w:val="0"/>
      <w:marTop w:val="0"/>
      <w:marBottom w:val="0"/>
      <w:divBdr>
        <w:top w:val="none" w:sz="0" w:space="0" w:color="auto"/>
        <w:left w:val="none" w:sz="0" w:space="0" w:color="auto"/>
        <w:bottom w:val="none" w:sz="0" w:space="0" w:color="auto"/>
        <w:right w:val="none" w:sz="0" w:space="0" w:color="auto"/>
      </w:divBdr>
    </w:div>
    <w:div w:id="767777950">
      <w:marLeft w:val="0"/>
      <w:marRight w:val="0"/>
      <w:marTop w:val="0"/>
      <w:marBottom w:val="0"/>
      <w:divBdr>
        <w:top w:val="none" w:sz="0" w:space="0" w:color="auto"/>
        <w:left w:val="none" w:sz="0" w:space="0" w:color="auto"/>
        <w:bottom w:val="none" w:sz="0" w:space="0" w:color="auto"/>
        <w:right w:val="none" w:sz="0" w:space="0" w:color="auto"/>
      </w:divBdr>
    </w:div>
    <w:div w:id="767777951">
      <w:marLeft w:val="0"/>
      <w:marRight w:val="0"/>
      <w:marTop w:val="0"/>
      <w:marBottom w:val="0"/>
      <w:divBdr>
        <w:top w:val="none" w:sz="0" w:space="0" w:color="auto"/>
        <w:left w:val="none" w:sz="0" w:space="0" w:color="auto"/>
        <w:bottom w:val="none" w:sz="0" w:space="0" w:color="auto"/>
        <w:right w:val="none" w:sz="0" w:space="0" w:color="auto"/>
      </w:divBdr>
    </w:div>
    <w:div w:id="767777952">
      <w:marLeft w:val="0"/>
      <w:marRight w:val="0"/>
      <w:marTop w:val="0"/>
      <w:marBottom w:val="0"/>
      <w:divBdr>
        <w:top w:val="none" w:sz="0" w:space="0" w:color="auto"/>
        <w:left w:val="none" w:sz="0" w:space="0" w:color="auto"/>
        <w:bottom w:val="none" w:sz="0" w:space="0" w:color="auto"/>
        <w:right w:val="none" w:sz="0" w:space="0" w:color="auto"/>
      </w:divBdr>
      <w:divsChild>
        <w:div w:id="767777973">
          <w:marLeft w:val="0"/>
          <w:marRight w:val="0"/>
          <w:marTop w:val="0"/>
          <w:marBottom w:val="0"/>
          <w:divBdr>
            <w:top w:val="none" w:sz="0" w:space="0" w:color="auto"/>
            <w:left w:val="none" w:sz="0" w:space="0" w:color="auto"/>
            <w:bottom w:val="none" w:sz="0" w:space="0" w:color="auto"/>
            <w:right w:val="none" w:sz="0" w:space="0" w:color="auto"/>
          </w:divBdr>
        </w:div>
      </w:divsChild>
    </w:div>
    <w:div w:id="767777953">
      <w:marLeft w:val="0"/>
      <w:marRight w:val="0"/>
      <w:marTop w:val="0"/>
      <w:marBottom w:val="0"/>
      <w:divBdr>
        <w:top w:val="none" w:sz="0" w:space="0" w:color="auto"/>
        <w:left w:val="none" w:sz="0" w:space="0" w:color="auto"/>
        <w:bottom w:val="none" w:sz="0" w:space="0" w:color="auto"/>
        <w:right w:val="none" w:sz="0" w:space="0" w:color="auto"/>
      </w:divBdr>
      <w:divsChild>
        <w:div w:id="767777964">
          <w:marLeft w:val="0"/>
          <w:marRight w:val="0"/>
          <w:marTop w:val="0"/>
          <w:marBottom w:val="0"/>
          <w:divBdr>
            <w:top w:val="none" w:sz="0" w:space="0" w:color="auto"/>
            <w:left w:val="none" w:sz="0" w:space="0" w:color="auto"/>
            <w:bottom w:val="none" w:sz="0" w:space="0" w:color="auto"/>
            <w:right w:val="none" w:sz="0" w:space="0" w:color="auto"/>
          </w:divBdr>
        </w:div>
      </w:divsChild>
    </w:div>
    <w:div w:id="767777955">
      <w:marLeft w:val="0"/>
      <w:marRight w:val="0"/>
      <w:marTop w:val="0"/>
      <w:marBottom w:val="0"/>
      <w:divBdr>
        <w:top w:val="none" w:sz="0" w:space="0" w:color="auto"/>
        <w:left w:val="none" w:sz="0" w:space="0" w:color="auto"/>
        <w:bottom w:val="none" w:sz="0" w:space="0" w:color="auto"/>
        <w:right w:val="none" w:sz="0" w:space="0" w:color="auto"/>
      </w:divBdr>
    </w:div>
    <w:div w:id="767777957">
      <w:marLeft w:val="0"/>
      <w:marRight w:val="0"/>
      <w:marTop w:val="0"/>
      <w:marBottom w:val="0"/>
      <w:divBdr>
        <w:top w:val="none" w:sz="0" w:space="0" w:color="auto"/>
        <w:left w:val="none" w:sz="0" w:space="0" w:color="auto"/>
        <w:bottom w:val="none" w:sz="0" w:space="0" w:color="auto"/>
        <w:right w:val="none" w:sz="0" w:space="0" w:color="auto"/>
      </w:divBdr>
      <w:divsChild>
        <w:div w:id="767777987">
          <w:marLeft w:val="0"/>
          <w:marRight w:val="0"/>
          <w:marTop w:val="0"/>
          <w:marBottom w:val="0"/>
          <w:divBdr>
            <w:top w:val="none" w:sz="0" w:space="0" w:color="auto"/>
            <w:left w:val="none" w:sz="0" w:space="0" w:color="auto"/>
            <w:bottom w:val="none" w:sz="0" w:space="0" w:color="auto"/>
            <w:right w:val="none" w:sz="0" w:space="0" w:color="auto"/>
          </w:divBdr>
        </w:div>
      </w:divsChild>
    </w:div>
    <w:div w:id="767777958">
      <w:marLeft w:val="0"/>
      <w:marRight w:val="0"/>
      <w:marTop w:val="0"/>
      <w:marBottom w:val="0"/>
      <w:divBdr>
        <w:top w:val="none" w:sz="0" w:space="0" w:color="auto"/>
        <w:left w:val="none" w:sz="0" w:space="0" w:color="auto"/>
        <w:bottom w:val="none" w:sz="0" w:space="0" w:color="auto"/>
        <w:right w:val="none" w:sz="0" w:space="0" w:color="auto"/>
      </w:divBdr>
    </w:div>
    <w:div w:id="767777959">
      <w:marLeft w:val="0"/>
      <w:marRight w:val="0"/>
      <w:marTop w:val="0"/>
      <w:marBottom w:val="0"/>
      <w:divBdr>
        <w:top w:val="none" w:sz="0" w:space="0" w:color="auto"/>
        <w:left w:val="none" w:sz="0" w:space="0" w:color="auto"/>
        <w:bottom w:val="none" w:sz="0" w:space="0" w:color="auto"/>
        <w:right w:val="none" w:sz="0" w:space="0" w:color="auto"/>
      </w:divBdr>
    </w:div>
    <w:div w:id="767777961">
      <w:marLeft w:val="0"/>
      <w:marRight w:val="0"/>
      <w:marTop w:val="0"/>
      <w:marBottom w:val="0"/>
      <w:divBdr>
        <w:top w:val="none" w:sz="0" w:space="0" w:color="auto"/>
        <w:left w:val="none" w:sz="0" w:space="0" w:color="auto"/>
        <w:bottom w:val="none" w:sz="0" w:space="0" w:color="auto"/>
        <w:right w:val="none" w:sz="0" w:space="0" w:color="auto"/>
      </w:divBdr>
      <w:divsChild>
        <w:div w:id="767777965">
          <w:marLeft w:val="0"/>
          <w:marRight w:val="0"/>
          <w:marTop w:val="0"/>
          <w:marBottom w:val="0"/>
          <w:divBdr>
            <w:top w:val="none" w:sz="0" w:space="0" w:color="auto"/>
            <w:left w:val="none" w:sz="0" w:space="0" w:color="auto"/>
            <w:bottom w:val="none" w:sz="0" w:space="0" w:color="auto"/>
            <w:right w:val="none" w:sz="0" w:space="0" w:color="auto"/>
          </w:divBdr>
        </w:div>
      </w:divsChild>
    </w:div>
    <w:div w:id="767777962">
      <w:marLeft w:val="0"/>
      <w:marRight w:val="0"/>
      <w:marTop w:val="0"/>
      <w:marBottom w:val="0"/>
      <w:divBdr>
        <w:top w:val="none" w:sz="0" w:space="0" w:color="auto"/>
        <w:left w:val="none" w:sz="0" w:space="0" w:color="auto"/>
        <w:bottom w:val="none" w:sz="0" w:space="0" w:color="auto"/>
        <w:right w:val="none" w:sz="0" w:space="0" w:color="auto"/>
      </w:divBdr>
    </w:div>
    <w:div w:id="767777963">
      <w:marLeft w:val="0"/>
      <w:marRight w:val="0"/>
      <w:marTop w:val="0"/>
      <w:marBottom w:val="0"/>
      <w:divBdr>
        <w:top w:val="none" w:sz="0" w:space="0" w:color="auto"/>
        <w:left w:val="none" w:sz="0" w:space="0" w:color="auto"/>
        <w:bottom w:val="none" w:sz="0" w:space="0" w:color="auto"/>
        <w:right w:val="none" w:sz="0" w:space="0" w:color="auto"/>
      </w:divBdr>
    </w:div>
    <w:div w:id="767777966">
      <w:marLeft w:val="0"/>
      <w:marRight w:val="0"/>
      <w:marTop w:val="0"/>
      <w:marBottom w:val="0"/>
      <w:divBdr>
        <w:top w:val="none" w:sz="0" w:space="0" w:color="auto"/>
        <w:left w:val="none" w:sz="0" w:space="0" w:color="auto"/>
        <w:bottom w:val="none" w:sz="0" w:space="0" w:color="auto"/>
        <w:right w:val="none" w:sz="0" w:space="0" w:color="auto"/>
      </w:divBdr>
      <w:divsChild>
        <w:div w:id="767777977">
          <w:marLeft w:val="0"/>
          <w:marRight w:val="0"/>
          <w:marTop w:val="0"/>
          <w:marBottom w:val="0"/>
          <w:divBdr>
            <w:top w:val="none" w:sz="0" w:space="0" w:color="auto"/>
            <w:left w:val="none" w:sz="0" w:space="0" w:color="auto"/>
            <w:bottom w:val="none" w:sz="0" w:space="0" w:color="auto"/>
            <w:right w:val="none" w:sz="0" w:space="0" w:color="auto"/>
          </w:divBdr>
        </w:div>
      </w:divsChild>
    </w:div>
    <w:div w:id="767777967">
      <w:marLeft w:val="0"/>
      <w:marRight w:val="0"/>
      <w:marTop w:val="0"/>
      <w:marBottom w:val="0"/>
      <w:divBdr>
        <w:top w:val="none" w:sz="0" w:space="0" w:color="auto"/>
        <w:left w:val="none" w:sz="0" w:space="0" w:color="auto"/>
        <w:bottom w:val="none" w:sz="0" w:space="0" w:color="auto"/>
        <w:right w:val="none" w:sz="0" w:space="0" w:color="auto"/>
      </w:divBdr>
    </w:div>
    <w:div w:id="767777968">
      <w:marLeft w:val="0"/>
      <w:marRight w:val="0"/>
      <w:marTop w:val="0"/>
      <w:marBottom w:val="0"/>
      <w:divBdr>
        <w:top w:val="none" w:sz="0" w:space="0" w:color="auto"/>
        <w:left w:val="none" w:sz="0" w:space="0" w:color="auto"/>
        <w:bottom w:val="none" w:sz="0" w:space="0" w:color="auto"/>
        <w:right w:val="none" w:sz="0" w:space="0" w:color="auto"/>
      </w:divBdr>
    </w:div>
    <w:div w:id="767777969">
      <w:marLeft w:val="0"/>
      <w:marRight w:val="0"/>
      <w:marTop w:val="0"/>
      <w:marBottom w:val="0"/>
      <w:divBdr>
        <w:top w:val="none" w:sz="0" w:space="0" w:color="auto"/>
        <w:left w:val="none" w:sz="0" w:space="0" w:color="auto"/>
        <w:bottom w:val="none" w:sz="0" w:space="0" w:color="auto"/>
        <w:right w:val="none" w:sz="0" w:space="0" w:color="auto"/>
      </w:divBdr>
    </w:div>
    <w:div w:id="767777970">
      <w:marLeft w:val="0"/>
      <w:marRight w:val="0"/>
      <w:marTop w:val="0"/>
      <w:marBottom w:val="0"/>
      <w:divBdr>
        <w:top w:val="none" w:sz="0" w:space="0" w:color="auto"/>
        <w:left w:val="none" w:sz="0" w:space="0" w:color="auto"/>
        <w:bottom w:val="none" w:sz="0" w:space="0" w:color="auto"/>
        <w:right w:val="none" w:sz="0" w:space="0" w:color="auto"/>
      </w:divBdr>
      <w:divsChild>
        <w:div w:id="767777954">
          <w:marLeft w:val="0"/>
          <w:marRight w:val="0"/>
          <w:marTop w:val="0"/>
          <w:marBottom w:val="0"/>
          <w:divBdr>
            <w:top w:val="none" w:sz="0" w:space="0" w:color="auto"/>
            <w:left w:val="none" w:sz="0" w:space="0" w:color="auto"/>
            <w:bottom w:val="none" w:sz="0" w:space="0" w:color="auto"/>
            <w:right w:val="none" w:sz="0" w:space="0" w:color="auto"/>
          </w:divBdr>
        </w:div>
      </w:divsChild>
    </w:div>
    <w:div w:id="767777971">
      <w:marLeft w:val="0"/>
      <w:marRight w:val="0"/>
      <w:marTop w:val="0"/>
      <w:marBottom w:val="0"/>
      <w:divBdr>
        <w:top w:val="none" w:sz="0" w:space="0" w:color="auto"/>
        <w:left w:val="none" w:sz="0" w:space="0" w:color="auto"/>
        <w:bottom w:val="none" w:sz="0" w:space="0" w:color="auto"/>
        <w:right w:val="none" w:sz="0" w:space="0" w:color="auto"/>
      </w:divBdr>
      <w:divsChild>
        <w:div w:id="767777956">
          <w:marLeft w:val="0"/>
          <w:marRight w:val="0"/>
          <w:marTop w:val="0"/>
          <w:marBottom w:val="0"/>
          <w:divBdr>
            <w:top w:val="none" w:sz="0" w:space="0" w:color="auto"/>
            <w:left w:val="none" w:sz="0" w:space="0" w:color="auto"/>
            <w:bottom w:val="none" w:sz="0" w:space="0" w:color="auto"/>
            <w:right w:val="none" w:sz="0" w:space="0" w:color="auto"/>
          </w:divBdr>
        </w:div>
      </w:divsChild>
    </w:div>
    <w:div w:id="767777972">
      <w:marLeft w:val="0"/>
      <w:marRight w:val="0"/>
      <w:marTop w:val="0"/>
      <w:marBottom w:val="0"/>
      <w:divBdr>
        <w:top w:val="none" w:sz="0" w:space="0" w:color="auto"/>
        <w:left w:val="none" w:sz="0" w:space="0" w:color="auto"/>
        <w:bottom w:val="none" w:sz="0" w:space="0" w:color="auto"/>
        <w:right w:val="none" w:sz="0" w:space="0" w:color="auto"/>
      </w:divBdr>
      <w:divsChild>
        <w:div w:id="767777981">
          <w:marLeft w:val="0"/>
          <w:marRight w:val="0"/>
          <w:marTop w:val="0"/>
          <w:marBottom w:val="0"/>
          <w:divBdr>
            <w:top w:val="none" w:sz="0" w:space="0" w:color="auto"/>
            <w:left w:val="none" w:sz="0" w:space="0" w:color="auto"/>
            <w:bottom w:val="none" w:sz="0" w:space="0" w:color="auto"/>
            <w:right w:val="none" w:sz="0" w:space="0" w:color="auto"/>
          </w:divBdr>
        </w:div>
      </w:divsChild>
    </w:div>
    <w:div w:id="767777974">
      <w:marLeft w:val="0"/>
      <w:marRight w:val="0"/>
      <w:marTop w:val="0"/>
      <w:marBottom w:val="0"/>
      <w:divBdr>
        <w:top w:val="none" w:sz="0" w:space="0" w:color="auto"/>
        <w:left w:val="none" w:sz="0" w:space="0" w:color="auto"/>
        <w:bottom w:val="none" w:sz="0" w:space="0" w:color="auto"/>
        <w:right w:val="none" w:sz="0" w:space="0" w:color="auto"/>
      </w:divBdr>
    </w:div>
    <w:div w:id="767777975">
      <w:marLeft w:val="0"/>
      <w:marRight w:val="0"/>
      <w:marTop w:val="0"/>
      <w:marBottom w:val="0"/>
      <w:divBdr>
        <w:top w:val="none" w:sz="0" w:space="0" w:color="auto"/>
        <w:left w:val="none" w:sz="0" w:space="0" w:color="auto"/>
        <w:bottom w:val="none" w:sz="0" w:space="0" w:color="auto"/>
        <w:right w:val="none" w:sz="0" w:space="0" w:color="auto"/>
      </w:divBdr>
    </w:div>
    <w:div w:id="767777976">
      <w:marLeft w:val="0"/>
      <w:marRight w:val="0"/>
      <w:marTop w:val="0"/>
      <w:marBottom w:val="0"/>
      <w:divBdr>
        <w:top w:val="none" w:sz="0" w:space="0" w:color="auto"/>
        <w:left w:val="none" w:sz="0" w:space="0" w:color="auto"/>
        <w:bottom w:val="none" w:sz="0" w:space="0" w:color="auto"/>
        <w:right w:val="none" w:sz="0" w:space="0" w:color="auto"/>
      </w:divBdr>
    </w:div>
    <w:div w:id="767777978">
      <w:marLeft w:val="0"/>
      <w:marRight w:val="0"/>
      <w:marTop w:val="0"/>
      <w:marBottom w:val="0"/>
      <w:divBdr>
        <w:top w:val="none" w:sz="0" w:space="0" w:color="auto"/>
        <w:left w:val="none" w:sz="0" w:space="0" w:color="auto"/>
        <w:bottom w:val="none" w:sz="0" w:space="0" w:color="auto"/>
        <w:right w:val="none" w:sz="0" w:space="0" w:color="auto"/>
      </w:divBdr>
      <w:divsChild>
        <w:div w:id="767777983">
          <w:marLeft w:val="0"/>
          <w:marRight w:val="0"/>
          <w:marTop w:val="0"/>
          <w:marBottom w:val="0"/>
          <w:divBdr>
            <w:top w:val="none" w:sz="0" w:space="0" w:color="auto"/>
            <w:left w:val="none" w:sz="0" w:space="0" w:color="auto"/>
            <w:bottom w:val="none" w:sz="0" w:space="0" w:color="auto"/>
            <w:right w:val="none" w:sz="0" w:space="0" w:color="auto"/>
          </w:divBdr>
        </w:div>
      </w:divsChild>
    </w:div>
    <w:div w:id="767777979">
      <w:marLeft w:val="0"/>
      <w:marRight w:val="0"/>
      <w:marTop w:val="0"/>
      <w:marBottom w:val="0"/>
      <w:divBdr>
        <w:top w:val="none" w:sz="0" w:space="0" w:color="auto"/>
        <w:left w:val="none" w:sz="0" w:space="0" w:color="auto"/>
        <w:bottom w:val="none" w:sz="0" w:space="0" w:color="auto"/>
        <w:right w:val="none" w:sz="0" w:space="0" w:color="auto"/>
      </w:divBdr>
    </w:div>
    <w:div w:id="767777980">
      <w:marLeft w:val="0"/>
      <w:marRight w:val="0"/>
      <w:marTop w:val="0"/>
      <w:marBottom w:val="0"/>
      <w:divBdr>
        <w:top w:val="none" w:sz="0" w:space="0" w:color="auto"/>
        <w:left w:val="none" w:sz="0" w:space="0" w:color="auto"/>
        <w:bottom w:val="none" w:sz="0" w:space="0" w:color="auto"/>
        <w:right w:val="none" w:sz="0" w:space="0" w:color="auto"/>
      </w:divBdr>
      <w:divsChild>
        <w:div w:id="767777984">
          <w:marLeft w:val="0"/>
          <w:marRight w:val="0"/>
          <w:marTop w:val="0"/>
          <w:marBottom w:val="0"/>
          <w:divBdr>
            <w:top w:val="none" w:sz="0" w:space="0" w:color="auto"/>
            <w:left w:val="none" w:sz="0" w:space="0" w:color="auto"/>
            <w:bottom w:val="none" w:sz="0" w:space="0" w:color="auto"/>
            <w:right w:val="none" w:sz="0" w:space="0" w:color="auto"/>
          </w:divBdr>
        </w:div>
      </w:divsChild>
    </w:div>
    <w:div w:id="767777985">
      <w:marLeft w:val="0"/>
      <w:marRight w:val="0"/>
      <w:marTop w:val="0"/>
      <w:marBottom w:val="0"/>
      <w:divBdr>
        <w:top w:val="none" w:sz="0" w:space="0" w:color="auto"/>
        <w:left w:val="none" w:sz="0" w:space="0" w:color="auto"/>
        <w:bottom w:val="none" w:sz="0" w:space="0" w:color="auto"/>
        <w:right w:val="none" w:sz="0" w:space="0" w:color="auto"/>
      </w:divBdr>
    </w:div>
    <w:div w:id="767777986">
      <w:marLeft w:val="0"/>
      <w:marRight w:val="0"/>
      <w:marTop w:val="0"/>
      <w:marBottom w:val="0"/>
      <w:divBdr>
        <w:top w:val="none" w:sz="0" w:space="0" w:color="auto"/>
        <w:left w:val="none" w:sz="0" w:space="0" w:color="auto"/>
        <w:bottom w:val="none" w:sz="0" w:space="0" w:color="auto"/>
        <w:right w:val="none" w:sz="0" w:space="0" w:color="auto"/>
      </w:divBdr>
      <w:divsChild>
        <w:div w:id="767777945">
          <w:marLeft w:val="0"/>
          <w:marRight w:val="0"/>
          <w:marTop w:val="0"/>
          <w:marBottom w:val="0"/>
          <w:divBdr>
            <w:top w:val="none" w:sz="0" w:space="0" w:color="auto"/>
            <w:left w:val="none" w:sz="0" w:space="0" w:color="auto"/>
            <w:bottom w:val="none" w:sz="0" w:space="0" w:color="auto"/>
            <w:right w:val="none" w:sz="0" w:space="0" w:color="auto"/>
          </w:divBdr>
        </w:div>
      </w:divsChild>
    </w:div>
    <w:div w:id="767777988">
      <w:marLeft w:val="0"/>
      <w:marRight w:val="0"/>
      <w:marTop w:val="0"/>
      <w:marBottom w:val="0"/>
      <w:divBdr>
        <w:top w:val="none" w:sz="0" w:space="0" w:color="auto"/>
        <w:left w:val="none" w:sz="0" w:space="0" w:color="auto"/>
        <w:bottom w:val="none" w:sz="0" w:space="0" w:color="auto"/>
        <w:right w:val="none" w:sz="0" w:space="0" w:color="auto"/>
      </w:divBdr>
      <w:divsChild>
        <w:div w:id="76777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993</Words>
  <Characters>5665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國立臺灣大學國家發展研究所97學年度第2學期課程綱要</dc:title>
  <dc:subject/>
  <dc:creator>user</dc:creator>
  <cp:keywords/>
  <dc:description/>
  <cp:lastModifiedBy>NTU-</cp:lastModifiedBy>
  <cp:revision>6</cp:revision>
  <cp:lastPrinted>2011-11-18T09:48:00Z</cp:lastPrinted>
  <dcterms:created xsi:type="dcterms:W3CDTF">2012-06-08T04:01:00Z</dcterms:created>
  <dcterms:modified xsi:type="dcterms:W3CDTF">2012-06-08T04:08:00Z</dcterms:modified>
</cp:coreProperties>
</file>