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59"/>
        <w:gridCol w:w="891"/>
        <w:gridCol w:w="770"/>
        <w:gridCol w:w="717"/>
        <w:gridCol w:w="183"/>
        <w:gridCol w:w="1260"/>
        <w:gridCol w:w="165"/>
        <w:gridCol w:w="3435"/>
      </w:tblGrid>
      <w:tr w:rsidR="008C62F8" w:rsidRPr="00E130E4" w:rsidTr="00B07E3C">
        <w:trPr>
          <w:trHeight w:val="730"/>
        </w:trPr>
        <w:tc>
          <w:tcPr>
            <w:tcW w:w="9648" w:type="dxa"/>
            <w:gridSpan w:val="9"/>
            <w:tcBorders>
              <w:top w:val="nil"/>
              <w:left w:val="nil"/>
              <w:bottom w:val="single" w:sz="4" w:space="0" w:color="auto"/>
              <w:right w:val="nil"/>
            </w:tcBorders>
            <w:shd w:val="clear" w:color="auto" w:fill="auto"/>
          </w:tcPr>
          <w:p w:rsidR="008C62F8" w:rsidRPr="00E130E4" w:rsidRDefault="008C62F8" w:rsidP="00FC0DA1">
            <w:pPr>
              <w:spacing w:afterLines="50"/>
              <w:jc w:val="center"/>
              <w:rPr>
                <w:b/>
                <w:sz w:val="26"/>
                <w:szCs w:val="26"/>
              </w:rPr>
            </w:pPr>
            <w:r w:rsidRPr="00E130E4">
              <w:rPr>
                <w:b/>
                <w:sz w:val="32"/>
                <w:szCs w:val="32"/>
              </w:rPr>
              <w:t>國立臺灣大學國家發展研究所</w:t>
            </w:r>
            <w:r w:rsidR="00FC0DA1">
              <w:rPr>
                <w:rFonts w:hint="eastAsia"/>
                <w:b/>
                <w:sz w:val="32"/>
                <w:szCs w:val="32"/>
              </w:rPr>
              <w:t>10</w:t>
            </w:r>
            <w:r w:rsidR="009B5ED7">
              <w:rPr>
                <w:rFonts w:hint="eastAsia"/>
                <w:b/>
                <w:sz w:val="32"/>
                <w:szCs w:val="32"/>
              </w:rPr>
              <w:t>2</w:t>
            </w:r>
            <w:r w:rsidRPr="00E130E4">
              <w:rPr>
                <w:b/>
                <w:sz w:val="32"/>
                <w:szCs w:val="32"/>
              </w:rPr>
              <w:t>學年度第</w:t>
            </w:r>
            <w:r w:rsidR="00CA7F5D" w:rsidRPr="00E130E4">
              <w:rPr>
                <w:b/>
                <w:sz w:val="32"/>
                <w:szCs w:val="32"/>
              </w:rPr>
              <w:t>1</w:t>
            </w:r>
            <w:r w:rsidRPr="00E130E4">
              <w:rPr>
                <w:b/>
                <w:sz w:val="32"/>
                <w:szCs w:val="32"/>
              </w:rPr>
              <w:t>學期課程綱要</w:t>
            </w:r>
          </w:p>
        </w:tc>
      </w:tr>
      <w:tr w:rsidR="008C62F8" w:rsidRPr="00E130E4" w:rsidTr="00B07E3C">
        <w:tc>
          <w:tcPr>
            <w:tcW w:w="9648" w:type="dxa"/>
            <w:gridSpan w:val="9"/>
            <w:tcBorders>
              <w:top w:val="single" w:sz="4" w:space="0" w:color="auto"/>
            </w:tcBorders>
            <w:shd w:val="clear" w:color="auto" w:fill="D9D9D9"/>
          </w:tcPr>
          <w:p w:rsidR="008C62F8" w:rsidRPr="00E130E4" w:rsidRDefault="008C62F8" w:rsidP="00B07E3C">
            <w:pPr>
              <w:jc w:val="center"/>
              <w:rPr>
                <w:b/>
                <w:sz w:val="26"/>
                <w:szCs w:val="26"/>
              </w:rPr>
            </w:pPr>
            <w:r w:rsidRPr="00E130E4">
              <w:rPr>
                <w:b/>
                <w:sz w:val="26"/>
                <w:szCs w:val="26"/>
              </w:rPr>
              <w:t>課程資訊</w:t>
            </w:r>
          </w:p>
        </w:tc>
      </w:tr>
      <w:tr w:rsidR="008C62F8" w:rsidRPr="00E130E4" w:rsidTr="00B07E3C">
        <w:trPr>
          <w:trHeight w:val="1063"/>
        </w:trPr>
        <w:tc>
          <w:tcPr>
            <w:tcW w:w="1368" w:type="dxa"/>
          </w:tcPr>
          <w:p w:rsidR="008C62F8" w:rsidRPr="00E130E4" w:rsidRDefault="008C62F8" w:rsidP="00B07E3C">
            <w:pPr>
              <w:rPr>
                <w:sz w:val="26"/>
                <w:szCs w:val="26"/>
              </w:rPr>
            </w:pPr>
            <w:r w:rsidRPr="00E130E4">
              <w:rPr>
                <w:sz w:val="26"/>
                <w:szCs w:val="26"/>
              </w:rPr>
              <w:t>課程名稱</w:t>
            </w:r>
          </w:p>
        </w:tc>
        <w:tc>
          <w:tcPr>
            <w:tcW w:w="8280" w:type="dxa"/>
            <w:gridSpan w:val="8"/>
          </w:tcPr>
          <w:p w:rsidR="008C62F8" w:rsidRPr="00E130E4" w:rsidRDefault="00024CDC" w:rsidP="00B07E3C">
            <w:pPr>
              <w:jc w:val="both"/>
              <w:rPr>
                <w:rFonts w:eastAsia="標楷體"/>
                <w:b/>
              </w:rPr>
            </w:pPr>
            <w:r w:rsidRPr="00E130E4">
              <w:rPr>
                <w:rFonts w:eastAsia="標楷體"/>
                <w:b/>
              </w:rPr>
              <w:t>社會科學方法論</w:t>
            </w:r>
          </w:p>
          <w:p w:rsidR="00024CDC" w:rsidRPr="00E130E4" w:rsidRDefault="00024CDC" w:rsidP="00B07E3C">
            <w:pPr>
              <w:spacing w:beforeLines="50"/>
            </w:pPr>
            <w:r w:rsidRPr="00E130E4">
              <w:t>Methodology of Social Science</w:t>
            </w:r>
          </w:p>
        </w:tc>
      </w:tr>
      <w:tr w:rsidR="008C62F8" w:rsidRPr="00E130E4" w:rsidTr="00B07E3C">
        <w:tc>
          <w:tcPr>
            <w:tcW w:w="1368" w:type="dxa"/>
          </w:tcPr>
          <w:p w:rsidR="008C62F8" w:rsidRPr="00E130E4" w:rsidRDefault="008C62F8" w:rsidP="00B07E3C">
            <w:pPr>
              <w:rPr>
                <w:sz w:val="26"/>
                <w:szCs w:val="26"/>
              </w:rPr>
            </w:pPr>
            <w:r w:rsidRPr="00E130E4">
              <w:rPr>
                <w:sz w:val="26"/>
                <w:szCs w:val="26"/>
              </w:rPr>
              <w:t>課程編號</w:t>
            </w:r>
          </w:p>
        </w:tc>
        <w:tc>
          <w:tcPr>
            <w:tcW w:w="1750" w:type="dxa"/>
            <w:gridSpan w:val="2"/>
          </w:tcPr>
          <w:p w:rsidR="008C62F8" w:rsidRPr="00E130E4" w:rsidRDefault="00D82C34" w:rsidP="00B07E3C">
            <w:r w:rsidRPr="00E130E4">
              <w:t>M4630</w:t>
            </w:r>
          </w:p>
        </w:tc>
        <w:tc>
          <w:tcPr>
            <w:tcW w:w="770" w:type="dxa"/>
          </w:tcPr>
          <w:p w:rsidR="008C62F8" w:rsidRPr="00E130E4" w:rsidRDefault="008C62F8" w:rsidP="00B07E3C">
            <w:pPr>
              <w:rPr>
                <w:sz w:val="20"/>
                <w:szCs w:val="20"/>
              </w:rPr>
            </w:pPr>
            <w:r w:rsidRPr="00E130E4">
              <w:rPr>
                <w:sz w:val="20"/>
                <w:szCs w:val="20"/>
              </w:rPr>
              <w:t>班次</w:t>
            </w:r>
          </w:p>
        </w:tc>
        <w:tc>
          <w:tcPr>
            <w:tcW w:w="900" w:type="dxa"/>
            <w:gridSpan w:val="2"/>
          </w:tcPr>
          <w:p w:rsidR="008C62F8" w:rsidRPr="00E130E4" w:rsidRDefault="008C62F8" w:rsidP="00B07E3C"/>
        </w:tc>
        <w:tc>
          <w:tcPr>
            <w:tcW w:w="1260" w:type="dxa"/>
          </w:tcPr>
          <w:p w:rsidR="008C62F8" w:rsidRPr="00E130E4" w:rsidRDefault="008C62F8" w:rsidP="00B07E3C">
            <w:pPr>
              <w:rPr>
                <w:sz w:val="26"/>
                <w:szCs w:val="26"/>
              </w:rPr>
            </w:pPr>
            <w:r w:rsidRPr="00E130E4">
              <w:rPr>
                <w:sz w:val="26"/>
                <w:szCs w:val="26"/>
              </w:rPr>
              <w:t>學分數</w:t>
            </w:r>
          </w:p>
        </w:tc>
        <w:tc>
          <w:tcPr>
            <w:tcW w:w="3600" w:type="dxa"/>
            <w:gridSpan w:val="2"/>
          </w:tcPr>
          <w:p w:rsidR="008C62F8" w:rsidRPr="00E130E4" w:rsidRDefault="00024CDC" w:rsidP="00B07E3C">
            <w:r w:rsidRPr="00E130E4">
              <w:t>2</w:t>
            </w:r>
          </w:p>
        </w:tc>
      </w:tr>
      <w:tr w:rsidR="008C62F8" w:rsidRPr="00E130E4" w:rsidTr="00B07E3C">
        <w:tc>
          <w:tcPr>
            <w:tcW w:w="1368" w:type="dxa"/>
          </w:tcPr>
          <w:p w:rsidR="008C62F8" w:rsidRPr="00E130E4" w:rsidRDefault="008C62F8" w:rsidP="00B07E3C">
            <w:pPr>
              <w:rPr>
                <w:sz w:val="26"/>
                <w:szCs w:val="26"/>
              </w:rPr>
            </w:pPr>
            <w:r w:rsidRPr="00E130E4">
              <w:rPr>
                <w:sz w:val="26"/>
                <w:szCs w:val="26"/>
              </w:rPr>
              <w:t>全</w:t>
            </w:r>
            <w:r w:rsidRPr="00E130E4">
              <w:rPr>
                <w:sz w:val="26"/>
                <w:szCs w:val="26"/>
              </w:rPr>
              <w:t>/</w:t>
            </w:r>
            <w:r w:rsidRPr="00E130E4">
              <w:rPr>
                <w:sz w:val="26"/>
                <w:szCs w:val="26"/>
              </w:rPr>
              <w:t>半年</w:t>
            </w:r>
          </w:p>
        </w:tc>
        <w:tc>
          <w:tcPr>
            <w:tcW w:w="3420" w:type="dxa"/>
            <w:gridSpan w:val="5"/>
          </w:tcPr>
          <w:p w:rsidR="008C62F8" w:rsidRPr="00E130E4" w:rsidRDefault="00024CDC" w:rsidP="00B07E3C">
            <w:r w:rsidRPr="00E130E4">
              <w:t>半年</w:t>
            </w:r>
          </w:p>
        </w:tc>
        <w:tc>
          <w:tcPr>
            <w:tcW w:w="1260" w:type="dxa"/>
          </w:tcPr>
          <w:p w:rsidR="008C62F8" w:rsidRPr="00E130E4" w:rsidRDefault="008C62F8" w:rsidP="00B07E3C">
            <w:pPr>
              <w:rPr>
                <w:sz w:val="26"/>
                <w:szCs w:val="26"/>
              </w:rPr>
            </w:pPr>
            <w:r w:rsidRPr="00E130E4">
              <w:rPr>
                <w:sz w:val="26"/>
                <w:szCs w:val="26"/>
              </w:rPr>
              <w:t>必</w:t>
            </w:r>
            <w:r w:rsidRPr="00E130E4">
              <w:rPr>
                <w:sz w:val="26"/>
                <w:szCs w:val="26"/>
              </w:rPr>
              <w:t>/</w:t>
            </w:r>
            <w:r w:rsidRPr="00E130E4">
              <w:rPr>
                <w:sz w:val="26"/>
                <w:szCs w:val="26"/>
              </w:rPr>
              <w:t>選修</w:t>
            </w:r>
          </w:p>
        </w:tc>
        <w:tc>
          <w:tcPr>
            <w:tcW w:w="3600" w:type="dxa"/>
            <w:gridSpan w:val="2"/>
          </w:tcPr>
          <w:p w:rsidR="00B47CCD" w:rsidRPr="00E130E4" w:rsidRDefault="00B47CCD" w:rsidP="00B07E3C">
            <w:r w:rsidRPr="00E130E4">
              <w:t>共同必修</w:t>
            </w:r>
          </w:p>
        </w:tc>
      </w:tr>
      <w:tr w:rsidR="008C62F8" w:rsidRPr="00E130E4" w:rsidTr="00B07E3C">
        <w:tc>
          <w:tcPr>
            <w:tcW w:w="1368" w:type="dxa"/>
          </w:tcPr>
          <w:p w:rsidR="008C62F8" w:rsidRPr="00E130E4" w:rsidRDefault="008C62F8" w:rsidP="00B07E3C">
            <w:pPr>
              <w:rPr>
                <w:sz w:val="26"/>
                <w:szCs w:val="26"/>
              </w:rPr>
            </w:pPr>
            <w:r w:rsidRPr="00E130E4">
              <w:rPr>
                <w:sz w:val="26"/>
                <w:szCs w:val="26"/>
              </w:rPr>
              <w:t>授課教師</w:t>
            </w:r>
          </w:p>
        </w:tc>
        <w:tc>
          <w:tcPr>
            <w:tcW w:w="3420" w:type="dxa"/>
            <w:gridSpan w:val="5"/>
          </w:tcPr>
          <w:p w:rsidR="008C62F8" w:rsidRPr="00E130E4" w:rsidRDefault="00024CDC" w:rsidP="00B07E3C">
            <w:r w:rsidRPr="00E130E4">
              <w:t>張志銘、陳顯武</w:t>
            </w:r>
          </w:p>
        </w:tc>
        <w:tc>
          <w:tcPr>
            <w:tcW w:w="1260" w:type="dxa"/>
          </w:tcPr>
          <w:p w:rsidR="008C62F8" w:rsidRPr="00E130E4" w:rsidRDefault="008C62F8" w:rsidP="00B07E3C">
            <w:pPr>
              <w:rPr>
                <w:sz w:val="26"/>
                <w:szCs w:val="26"/>
              </w:rPr>
            </w:pPr>
            <w:r w:rsidRPr="00E130E4">
              <w:rPr>
                <w:sz w:val="26"/>
                <w:szCs w:val="26"/>
              </w:rPr>
              <w:t>開課系所</w:t>
            </w:r>
          </w:p>
        </w:tc>
        <w:tc>
          <w:tcPr>
            <w:tcW w:w="3600" w:type="dxa"/>
            <w:gridSpan w:val="2"/>
          </w:tcPr>
          <w:p w:rsidR="008C62F8" w:rsidRPr="00E130E4" w:rsidRDefault="00744BC5" w:rsidP="00B07E3C">
            <w:r w:rsidRPr="00E130E4">
              <w:t>國家發展研究所</w:t>
            </w:r>
          </w:p>
        </w:tc>
      </w:tr>
      <w:tr w:rsidR="008C62F8" w:rsidRPr="00E130E4" w:rsidTr="00B07E3C">
        <w:tc>
          <w:tcPr>
            <w:tcW w:w="1368" w:type="dxa"/>
          </w:tcPr>
          <w:p w:rsidR="008C62F8" w:rsidRPr="00E130E4" w:rsidRDefault="008C62F8" w:rsidP="00B07E3C">
            <w:pPr>
              <w:rPr>
                <w:sz w:val="26"/>
                <w:szCs w:val="26"/>
              </w:rPr>
            </w:pPr>
            <w:r w:rsidRPr="00E130E4">
              <w:rPr>
                <w:sz w:val="26"/>
                <w:szCs w:val="26"/>
              </w:rPr>
              <w:t>上課時間</w:t>
            </w:r>
          </w:p>
        </w:tc>
        <w:tc>
          <w:tcPr>
            <w:tcW w:w="3420" w:type="dxa"/>
            <w:gridSpan w:val="5"/>
          </w:tcPr>
          <w:p w:rsidR="008C62F8" w:rsidRPr="00A57520" w:rsidRDefault="00024CDC" w:rsidP="00FC0DA1">
            <w:pPr>
              <w:jc w:val="both"/>
              <w:rPr>
                <w:rFonts w:ascii="新細明體" w:hAnsi="新細明體"/>
              </w:rPr>
            </w:pPr>
            <w:r w:rsidRPr="00EC3BA6">
              <w:rPr>
                <w:rFonts w:ascii="新細明體" w:hAnsi="新細明體"/>
              </w:rPr>
              <w:t>星期六上午</w:t>
            </w:r>
            <w:r w:rsidR="00FC0DA1">
              <w:rPr>
                <w:rFonts w:ascii="新細明體" w:hAnsi="新細明體" w:hint="eastAsia"/>
              </w:rPr>
              <w:t>8:10~10</w:t>
            </w:r>
            <w:r w:rsidR="00EC3BA6" w:rsidRPr="00EC3BA6">
              <w:rPr>
                <w:rFonts w:ascii="新細明體" w:hAnsi="新細明體" w:hint="eastAsia"/>
              </w:rPr>
              <w:t>:00</w:t>
            </w:r>
          </w:p>
        </w:tc>
        <w:tc>
          <w:tcPr>
            <w:tcW w:w="1260" w:type="dxa"/>
          </w:tcPr>
          <w:p w:rsidR="008C62F8" w:rsidRPr="00E130E4" w:rsidRDefault="00744BC5" w:rsidP="00B07E3C">
            <w:pPr>
              <w:rPr>
                <w:sz w:val="26"/>
                <w:szCs w:val="26"/>
              </w:rPr>
            </w:pPr>
            <w:r w:rsidRPr="00E130E4">
              <w:rPr>
                <w:sz w:val="26"/>
                <w:szCs w:val="26"/>
              </w:rPr>
              <w:t>修課人數</w:t>
            </w:r>
          </w:p>
        </w:tc>
        <w:tc>
          <w:tcPr>
            <w:tcW w:w="3600" w:type="dxa"/>
            <w:gridSpan w:val="2"/>
          </w:tcPr>
          <w:p w:rsidR="008C62F8" w:rsidRPr="00E130E4" w:rsidRDefault="00FC0DA1" w:rsidP="00B07E3C">
            <w:r>
              <w:rPr>
                <w:rFonts w:hint="eastAsia"/>
              </w:rPr>
              <w:t>無上限</w:t>
            </w:r>
          </w:p>
        </w:tc>
      </w:tr>
      <w:tr w:rsidR="00744BC5" w:rsidRPr="00E130E4" w:rsidTr="00B07E3C">
        <w:tc>
          <w:tcPr>
            <w:tcW w:w="1368" w:type="dxa"/>
          </w:tcPr>
          <w:p w:rsidR="00744BC5" w:rsidRPr="00E130E4" w:rsidRDefault="00744BC5" w:rsidP="00B07E3C">
            <w:pPr>
              <w:rPr>
                <w:sz w:val="26"/>
                <w:szCs w:val="26"/>
              </w:rPr>
            </w:pPr>
            <w:r w:rsidRPr="00E130E4">
              <w:rPr>
                <w:sz w:val="26"/>
                <w:szCs w:val="26"/>
              </w:rPr>
              <w:t>上課地點</w:t>
            </w:r>
          </w:p>
        </w:tc>
        <w:tc>
          <w:tcPr>
            <w:tcW w:w="3420" w:type="dxa"/>
            <w:gridSpan w:val="5"/>
          </w:tcPr>
          <w:p w:rsidR="00744BC5" w:rsidRPr="00E130E4" w:rsidRDefault="00744BC5" w:rsidP="00B07E3C"/>
        </w:tc>
        <w:tc>
          <w:tcPr>
            <w:tcW w:w="1260" w:type="dxa"/>
          </w:tcPr>
          <w:p w:rsidR="00744BC5" w:rsidRPr="00E130E4" w:rsidRDefault="00744BC5" w:rsidP="00B07E3C">
            <w:pPr>
              <w:rPr>
                <w:sz w:val="16"/>
                <w:szCs w:val="16"/>
              </w:rPr>
            </w:pPr>
            <w:r w:rsidRPr="00E130E4">
              <w:rPr>
                <w:sz w:val="16"/>
                <w:szCs w:val="16"/>
              </w:rPr>
              <w:t>課程加選方式</w:t>
            </w:r>
          </w:p>
        </w:tc>
        <w:tc>
          <w:tcPr>
            <w:tcW w:w="3600" w:type="dxa"/>
            <w:gridSpan w:val="2"/>
          </w:tcPr>
          <w:p w:rsidR="00744BC5" w:rsidRPr="00E130E4" w:rsidRDefault="00E130E4" w:rsidP="00B07E3C">
            <w:r w:rsidRPr="00E130E4">
              <w:t>2</w:t>
            </w:r>
          </w:p>
        </w:tc>
      </w:tr>
      <w:tr w:rsidR="00744BC5" w:rsidRPr="00E130E4" w:rsidTr="00B07E3C">
        <w:tc>
          <w:tcPr>
            <w:tcW w:w="1368" w:type="dxa"/>
            <w:tcBorders>
              <w:bottom w:val="single" w:sz="4" w:space="0" w:color="auto"/>
            </w:tcBorders>
          </w:tcPr>
          <w:p w:rsidR="00744BC5" w:rsidRPr="00E130E4" w:rsidRDefault="00744BC5" w:rsidP="00B07E3C">
            <w:pPr>
              <w:rPr>
                <w:sz w:val="26"/>
                <w:szCs w:val="26"/>
              </w:rPr>
            </w:pPr>
            <w:r w:rsidRPr="00E130E4">
              <w:rPr>
                <w:sz w:val="26"/>
                <w:szCs w:val="26"/>
              </w:rPr>
              <w:t>課程網頁</w:t>
            </w:r>
          </w:p>
        </w:tc>
        <w:tc>
          <w:tcPr>
            <w:tcW w:w="8280" w:type="dxa"/>
            <w:gridSpan w:val="8"/>
            <w:tcBorders>
              <w:bottom w:val="single" w:sz="4" w:space="0" w:color="auto"/>
            </w:tcBorders>
          </w:tcPr>
          <w:p w:rsidR="00744BC5" w:rsidRPr="00E130E4" w:rsidRDefault="00744BC5" w:rsidP="00B07E3C"/>
        </w:tc>
      </w:tr>
      <w:tr w:rsidR="00EA3BD2" w:rsidRPr="00E130E4" w:rsidTr="00B07E3C">
        <w:tc>
          <w:tcPr>
            <w:tcW w:w="1368" w:type="dxa"/>
            <w:tcBorders>
              <w:bottom w:val="single" w:sz="4" w:space="0" w:color="auto"/>
            </w:tcBorders>
          </w:tcPr>
          <w:p w:rsidR="00EA3BD2" w:rsidRPr="00E130E4" w:rsidRDefault="00EA3BD2" w:rsidP="00B07E3C">
            <w:pPr>
              <w:rPr>
                <w:sz w:val="26"/>
                <w:szCs w:val="26"/>
              </w:rPr>
            </w:pPr>
            <w:r w:rsidRPr="00E130E4">
              <w:rPr>
                <w:sz w:val="26"/>
                <w:szCs w:val="26"/>
              </w:rPr>
              <w:t>備註</w:t>
            </w:r>
          </w:p>
        </w:tc>
        <w:tc>
          <w:tcPr>
            <w:tcW w:w="8280" w:type="dxa"/>
            <w:gridSpan w:val="8"/>
            <w:tcBorders>
              <w:bottom w:val="single" w:sz="4" w:space="0" w:color="auto"/>
            </w:tcBorders>
          </w:tcPr>
          <w:p w:rsidR="00EA3BD2" w:rsidRPr="00E130E4" w:rsidRDefault="00EA3BD2" w:rsidP="00B07E3C"/>
        </w:tc>
      </w:tr>
      <w:tr w:rsidR="00744BC5" w:rsidRPr="00E130E4" w:rsidTr="00B07E3C">
        <w:tc>
          <w:tcPr>
            <w:tcW w:w="9648" w:type="dxa"/>
            <w:gridSpan w:val="9"/>
            <w:shd w:val="clear" w:color="auto" w:fill="D9D9D9"/>
          </w:tcPr>
          <w:p w:rsidR="00744BC5" w:rsidRPr="00E130E4" w:rsidRDefault="00744BC5" w:rsidP="00B07E3C">
            <w:pPr>
              <w:jc w:val="center"/>
              <w:rPr>
                <w:b/>
                <w:sz w:val="26"/>
                <w:szCs w:val="26"/>
              </w:rPr>
            </w:pPr>
            <w:r w:rsidRPr="00E130E4">
              <w:rPr>
                <w:b/>
                <w:sz w:val="26"/>
                <w:szCs w:val="26"/>
              </w:rPr>
              <w:t>課程大綱</w:t>
            </w:r>
          </w:p>
        </w:tc>
      </w:tr>
      <w:tr w:rsidR="00744BC5" w:rsidRPr="00E130E4" w:rsidTr="00B07E3C">
        <w:tc>
          <w:tcPr>
            <w:tcW w:w="1368" w:type="dxa"/>
          </w:tcPr>
          <w:p w:rsidR="00744BC5" w:rsidRPr="00E130E4" w:rsidRDefault="00744BC5" w:rsidP="00B07E3C">
            <w:pPr>
              <w:rPr>
                <w:sz w:val="26"/>
                <w:szCs w:val="26"/>
              </w:rPr>
            </w:pPr>
            <w:r w:rsidRPr="00E130E4">
              <w:rPr>
                <w:sz w:val="26"/>
                <w:szCs w:val="26"/>
              </w:rPr>
              <w:t>課程目標</w:t>
            </w:r>
          </w:p>
        </w:tc>
        <w:tc>
          <w:tcPr>
            <w:tcW w:w="8280" w:type="dxa"/>
            <w:gridSpan w:val="8"/>
          </w:tcPr>
          <w:p w:rsidR="00744BC5" w:rsidRPr="00E130E4" w:rsidRDefault="00024CDC" w:rsidP="00E130E4">
            <w:pPr>
              <w:ind w:firstLineChars="200" w:firstLine="480"/>
              <w:jc w:val="both"/>
              <w:rPr>
                <w:rFonts w:eastAsia="標楷體"/>
              </w:rPr>
            </w:pPr>
            <w:r w:rsidRPr="00E130E4">
              <w:rPr>
                <w:rFonts w:eastAsia="標楷體"/>
              </w:rPr>
              <w:t>本課程旨在深化及</w:t>
            </w:r>
            <w:proofErr w:type="gramStart"/>
            <w:r w:rsidRPr="00E130E4">
              <w:rPr>
                <w:rFonts w:eastAsia="標楷體"/>
              </w:rPr>
              <w:t>批判式地反省</w:t>
            </w:r>
            <w:proofErr w:type="gramEnd"/>
            <w:r w:rsidRPr="00E130E4">
              <w:rPr>
                <w:rFonts w:eastAsia="標楷體"/>
              </w:rPr>
              <w:t>社會科學研究上各種不同的方法取向，除了探討各種不同的方法在社會科學研究上運用的可能性、侷限性及其方法論上的預設，並希冀尋求社會科學方法論研究之新途徑及新方法之檢視，進而促進博士班學生閱讀一流期刊並撰寫學術文章投稿之能力。</w:t>
            </w:r>
          </w:p>
        </w:tc>
      </w:tr>
      <w:tr w:rsidR="00744BC5" w:rsidRPr="00E130E4" w:rsidTr="00B07E3C">
        <w:tc>
          <w:tcPr>
            <w:tcW w:w="1368" w:type="dxa"/>
          </w:tcPr>
          <w:p w:rsidR="00744BC5" w:rsidRPr="00E130E4" w:rsidRDefault="00744BC5" w:rsidP="00B07E3C">
            <w:pPr>
              <w:rPr>
                <w:sz w:val="26"/>
                <w:szCs w:val="26"/>
              </w:rPr>
            </w:pPr>
            <w:r w:rsidRPr="00E130E4">
              <w:rPr>
                <w:sz w:val="26"/>
                <w:szCs w:val="26"/>
              </w:rPr>
              <w:t>課程概述</w:t>
            </w:r>
          </w:p>
        </w:tc>
        <w:tc>
          <w:tcPr>
            <w:tcW w:w="8280" w:type="dxa"/>
            <w:gridSpan w:val="8"/>
          </w:tcPr>
          <w:p w:rsidR="00024CDC" w:rsidRPr="00E130E4" w:rsidRDefault="00024CDC" w:rsidP="00B07E3C">
            <w:pPr>
              <w:ind w:firstLineChars="200" w:firstLine="480"/>
              <w:jc w:val="both"/>
              <w:rPr>
                <w:rFonts w:eastAsia="標楷體"/>
              </w:rPr>
            </w:pPr>
            <w:r w:rsidRPr="00E130E4">
              <w:rPr>
                <w:rFonts w:eastAsia="標楷體"/>
              </w:rPr>
              <w:t>本課程擬先從「經驗分析之研究取向」的介紹與檢討著手，在這一部分，將針對經驗分析科學之基本預設、</w:t>
            </w:r>
            <w:proofErr w:type="gramStart"/>
            <w:r w:rsidRPr="00E130E4">
              <w:rPr>
                <w:rFonts w:eastAsia="標楷體"/>
              </w:rPr>
              <w:t>經驗概化</w:t>
            </w:r>
            <w:proofErr w:type="gramEnd"/>
            <w:r w:rsidRPr="00E130E4">
              <w:rPr>
                <w:rFonts w:eastAsia="標楷體"/>
              </w:rPr>
              <w:t>、假設之形成、檢驗及演繹至理論之建構進行重點式的描述及深入之探究。</w:t>
            </w:r>
            <w:proofErr w:type="gramStart"/>
            <w:r w:rsidRPr="00E130E4">
              <w:rPr>
                <w:rFonts w:eastAsia="標楷體"/>
              </w:rPr>
              <w:t>此外，</w:t>
            </w:r>
            <w:proofErr w:type="gramEnd"/>
            <w:r w:rsidRPr="00E130E4">
              <w:rPr>
                <w:rFonts w:eastAsia="標楷體"/>
              </w:rPr>
              <w:t>亦擬針對經驗的科學說明模式、</w:t>
            </w:r>
            <w:r w:rsidRPr="00E130E4">
              <w:rPr>
                <w:rFonts w:eastAsia="標楷體"/>
              </w:rPr>
              <w:t>Popper</w:t>
            </w:r>
            <w:r w:rsidRPr="00E130E4">
              <w:rPr>
                <w:rFonts w:eastAsia="標楷體"/>
              </w:rPr>
              <w:t>與</w:t>
            </w:r>
            <w:r w:rsidRPr="00E130E4">
              <w:rPr>
                <w:rFonts w:eastAsia="標楷體"/>
              </w:rPr>
              <w:t>Kuhn</w:t>
            </w:r>
            <w:r w:rsidRPr="00E130E4">
              <w:rPr>
                <w:rFonts w:eastAsia="標楷體"/>
              </w:rPr>
              <w:t>的科學理論</w:t>
            </w:r>
            <w:r w:rsidRPr="00E130E4">
              <w:rPr>
                <w:rFonts w:eastAsia="標楷體"/>
                <w:lang w:val="de-DE"/>
              </w:rPr>
              <w:t>及</w:t>
            </w:r>
            <w:r w:rsidRPr="00E130E4">
              <w:rPr>
                <w:rFonts w:eastAsia="標楷體"/>
                <w:lang w:val="de-DE"/>
              </w:rPr>
              <w:t>Piaget</w:t>
            </w:r>
            <w:r w:rsidRPr="00E130E4">
              <w:rPr>
                <w:rFonts w:eastAsia="標楷體"/>
                <w:lang w:val="de-DE"/>
              </w:rPr>
              <w:t>的發生學之結構主義理論</w:t>
            </w:r>
            <w:r w:rsidRPr="00E130E4">
              <w:rPr>
                <w:rFonts w:eastAsia="標楷體"/>
              </w:rPr>
              <w:t>進行深入的分析與評論。</w:t>
            </w:r>
          </w:p>
          <w:p w:rsidR="00024CDC" w:rsidRPr="00E130E4" w:rsidRDefault="00024CDC" w:rsidP="00B07E3C">
            <w:pPr>
              <w:jc w:val="both"/>
              <w:rPr>
                <w:rFonts w:eastAsia="標楷體"/>
              </w:rPr>
            </w:pPr>
            <w:r w:rsidRPr="00E130E4">
              <w:rPr>
                <w:rFonts w:eastAsia="標楷體"/>
              </w:rPr>
              <w:t xml:space="preserve">    </w:t>
            </w:r>
            <w:r w:rsidRPr="00E130E4">
              <w:rPr>
                <w:rFonts w:eastAsia="標楷體"/>
              </w:rPr>
              <w:t>本課程第二部分則討論「非經驗分析之研究取向」。此一部分，則先從「說明與理解」之差異性加以探索。然後以</w:t>
            </w:r>
            <w:r w:rsidRPr="00E130E4">
              <w:rPr>
                <w:rFonts w:eastAsia="標楷體"/>
              </w:rPr>
              <w:t>Weber</w:t>
            </w:r>
            <w:r w:rsidRPr="00E130E4">
              <w:rPr>
                <w:rFonts w:eastAsia="標楷體"/>
              </w:rPr>
              <w:t>的社會科學方法論及其影響作為接續。其次而下的則更深入地探討詮釋學、現象學、辯證法及批判理論在社會科學研究上可能的貢獻及其界限</w:t>
            </w:r>
            <w:proofErr w:type="gramStart"/>
            <w:r w:rsidRPr="00E130E4">
              <w:rPr>
                <w:rFonts w:eastAsia="標楷體"/>
              </w:rPr>
              <w:t>當做</w:t>
            </w:r>
            <w:proofErr w:type="gramEnd"/>
            <w:r w:rsidRPr="00E130E4">
              <w:rPr>
                <w:rFonts w:eastAsia="標楷體"/>
              </w:rPr>
              <w:t>探討重點。</w:t>
            </w:r>
            <w:r w:rsidRPr="00E130E4">
              <w:rPr>
                <w:rFonts w:eastAsia="標楷體"/>
              </w:rPr>
              <w:t xml:space="preserve"> </w:t>
            </w:r>
          </w:p>
          <w:p w:rsidR="00744BC5" w:rsidRPr="00E130E4" w:rsidRDefault="00024CDC" w:rsidP="00E130E4">
            <w:pPr>
              <w:jc w:val="both"/>
              <w:rPr>
                <w:rFonts w:eastAsia="標楷體"/>
              </w:rPr>
            </w:pPr>
            <w:r w:rsidRPr="00E130E4">
              <w:rPr>
                <w:rFonts w:eastAsia="標楷體"/>
              </w:rPr>
              <w:t xml:space="preserve">    </w:t>
            </w:r>
            <w:r w:rsidRPr="00E130E4">
              <w:rPr>
                <w:rFonts w:eastAsia="標楷體"/>
              </w:rPr>
              <w:t>另外，在學期之最後末段部分，試圖以</w:t>
            </w:r>
            <w:r w:rsidRPr="00E130E4">
              <w:rPr>
                <w:rFonts w:eastAsia="標楷體"/>
              </w:rPr>
              <w:t>Bernstein</w:t>
            </w:r>
            <w:r w:rsidRPr="00E130E4">
              <w:rPr>
                <w:rFonts w:eastAsia="標楷體"/>
              </w:rPr>
              <w:t>對經驗科學與非經驗科學分析的處理來延伸及掌握社會科學方法論爭論之重點與貢獻，最後以後現代性對方法論的影響作為總結討論</w:t>
            </w:r>
          </w:p>
        </w:tc>
      </w:tr>
      <w:tr w:rsidR="00744BC5" w:rsidRPr="00E130E4" w:rsidTr="00B07E3C">
        <w:trPr>
          <w:trHeight w:val="425"/>
        </w:trPr>
        <w:tc>
          <w:tcPr>
            <w:tcW w:w="1368" w:type="dxa"/>
          </w:tcPr>
          <w:p w:rsidR="00744BC5" w:rsidRPr="00E130E4" w:rsidRDefault="00744BC5" w:rsidP="00B07E3C">
            <w:pPr>
              <w:rPr>
                <w:sz w:val="26"/>
                <w:szCs w:val="26"/>
              </w:rPr>
            </w:pPr>
            <w:r w:rsidRPr="00E130E4">
              <w:rPr>
                <w:sz w:val="26"/>
                <w:szCs w:val="26"/>
              </w:rPr>
              <w:t>關鍵字</w:t>
            </w:r>
          </w:p>
        </w:tc>
        <w:tc>
          <w:tcPr>
            <w:tcW w:w="8280" w:type="dxa"/>
            <w:gridSpan w:val="8"/>
          </w:tcPr>
          <w:p w:rsidR="00744BC5" w:rsidRPr="00E130E4" w:rsidRDefault="00024CDC" w:rsidP="00B07E3C">
            <w:r w:rsidRPr="00E130E4">
              <w:t>方法論、社會科學、方法、社會科學方法論、科學</w:t>
            </w:r>
          </w:p>
        </w:tc>
      </w:tr>
      <w:tr w:rsidR="00744BC5" w:rsidRPr="00E130E4" w:rsidTr="00B07E3C">
        <w:trPr>
          <w:trHeight w:val="601"/>
        </w:trPr>
        <w:tc>
          <w:tcPr>
            <w:tcW w:w="1368" w:type="dxa"/>
          </w:tcPr>
          <w:p w:rsidR="00744BC5" w:rsidRPr="00E130E4" w:rsidRDefault="00744BC5" w:rsidP="00B07E3C">
            <w:pPr>
              <w:rPr>
                <w:sz w:val="26"/>
                <w:szCs w:val="26"/>
              </w:rPr>
            </w:pPr>
            <w:r w:rsidRPr="00E130E4">
              <w:rPr>
                <w:sz w:val="26"/>
                <w:szCs w:val="26"/>
              </w:rPr>
              <w:t>課程要求</w:t>
            </w:r>
          </w:p>
        </w:tc>
        <w:tc>
          <w:tcPr>
            <w:tcW w:w="8280" w:type="dxa"/>
            <w:gridSpan w:val="8"/>
          </w:tcPr>
          <w:p w:rsidR="006D297A" w:rsidRPr="00E130E4" w:rsidRDefault="006D297A" w:rsidP="006D297A">
            <w:r w:rsidRPr="00E130E4">
              <w:t>1.</w:t>
            </w:r>
            <w:r w:rsidRPr="00E130E4">
              <w:t>上課前請務必預習本課程指定之教材</w:t>
            </w:r>
          </w:p>
          <w:p w:rsidR="00744BC5" w:rsidRPr="00E130E4" w:rsidRDefault="006D297A" w:rsidP="00B07E3C">
            <w:r w:rsidRPr="00E130E4">
              <w:t>2.</w:t>
            </w:r>
            <w:r w:rsidRPr="00E130E4">
              <w:t>本課程注重討論與發言，每週請思考當</w:t>
            </w:r>
            <w:proofErr w:type="gramStart"/>
            <w:r w:rsidRPr="00E130E4">
              <w:t>週</w:t>
            </w:r>
            <w:proofErr w:type="gramEnd"/>
            <w:r w:rsidRPr="00E130E4">
              <w:t>教材之相關學術問題，而後於上課發言並討論之。</w:t>
            </w:r>
          </w:p>
        </w:tc>
      </w:tr>
      <w:tr w:rsidR="006D297A" w:rsidRPr="00E130E4" w:rsidTr="00B07E3C">
        <w:tc>
          <w:tcPr>
            <w:tcW w:w="1368" w:type="dxa"/>
          </w:tcPr>
          <w:p w:rsidR="006D297A" w:rsidRPr="00E130E4" w:rsidRDefault="006D297A" w:rsidP="00B07E3C">
            <w:pPr>
              <w:rPr>
                <w:sz w:val="26"/>
                <w:szCs w:val="26"/>
              </w:rPr>
            </w:pPr>
            <w:r w:rsidRPr="00E130E4">
              <w:rPr>
                <w:sz w:val="26"/>
                <w:szCs w:val="26"/>
              </w:rPr>
              <w:t>Office Hours</w:t>
            </w:r>
          </w:p>
        </w:tc>
        <w:tc>
          <w:tcPr>
            <w:tcW w:w="8280" w:type="dxa"/>
            <w:gridSpan w:val="8"/>
          </w:tcPr>
          <w:p w:rsidR="006D297A" w:rsidRPr="00E130E4" w:rsidRDefault="006D297A" w:rsidP="00B07E3C">
            <w:r w:rsidRPr="00E130E4">
              <w:t>每週五</w:t>
            </w:r>
            <w:proofErr w:type="gramStart"/>
            <w:r w:rsidRPr="00E130E4">
              <w:t>12</w:t>
            </w:r>
            <w:proofErr w:type="gramEnd"/>
            <w:r w:rsidRPr="00E130E4">
              <w:t>:00~13:00</w:t>
            </w:r>
          </w:p>
        </w:tc>
      </w:tr>
      <w:tr w:rsidR="006D297A" w:rsidRPr="00E130E4" w:rsidTr="00B07E3C">
        <w:trPr>
          <w:trHeight w:val="1163"/>
        </w:trPr>
        <w:tc>
          <w:tcPr>
            <w:tcW w:w="1368" w:type="dxa"/>
          </w:tcPr>
          <w:p w:rsidR="006D297A" w:rsidRPr="00E130E4" w:rsidRDefault="006D297A" w:rsidP="00B07E3C">
            <w:pPr>
              <w:rPr>
                <w:sz w:val="26"/>
                <w:szCs w:val="26"/>
              </w:rPr>
            </w:pPr>
            <w:r w:rsidRPr="00E130E4">
              <w:rPr>
                <w:sz w:val="26"/>
                <w:szCs w:val="26"/>
              </w:rPr>
              <w:lastRenderedPageBreak/>
              <w:t>參考書目</w:t>
            </w:r>
          </w:p>
        </w:tc>
        <w:tc>
          <w:tcPr>
            <w:tcW w:w="8280" w:type="dxa"/>
            <w:gridSpan w:val="8"/>
            <w:tcBorders>
              <w:bottom w:val="single" w:sz="4" w:space="0" w:color="auto"/>
            </w:tcBorders>
          </w:tcPr>
          <w:p w:rsidR="006D297A" w:rsidRPr="00E130E4" w:rsidRDefault="006D297A" w:rsidP="00B07E3C">
            <w:pPr>
              <w:numPr>
                <w:ilvl w:val="0"/>
                <w:numId w:val="1"/>
              </w:numPr>
              <w:jc w:val="both"/>
              <w:rPr>
                <w:rFonts w:eastAsia="標楷體"/>
              </w:rPr>
            </w:pPr>
            <w:r w:rsidRPr="00E130E4">
              <w:rPr>
                <w:rFonts w:eastAsia="標楷體"/>
              </w:rPr>
              <w:t>林正弘，</w:t>
            </w:r>
            <w:proofErr w:type="gramStart"/>
            <w:r w:rsidRPr="00E130E4">
              <w:rPr>
                <w:rFonts w:eastAsia="標楷體"/>
              </w:rPr>
              <w:t>《</w:t>
            </w:r>
            <w:proofErr w:type="gramEnd"/>
            <w:r w:rsidRPr="00E130E4">
              <w:rPr>
                <w:rFonts w:eastAsia="標楷體"/>
              </w:rPr>
              <w:t>伽利略．</w:t>
            </w:r>
            <w:proofErr w:type="gramStart"/>
            <w:r w:rsidRPr="00E130E4">
              <w:rPr>
                <w:rFonts w:eastAsia="標楷體"/>
              </w:rPr>
              <w:t>波柏．</w:t>
            </w:r>
            <w:proofErr w:type="gramEnd"/>
            <w:r w:rsidRPr="00E130E4">
              <w:rPr>
                <w:rFonts w:eastAsia="標楷體"/>
              </w:rPr>
              <w:t>科學說明</w:t>
            </w:r>
            <w:proofErr w:type="gramStart"/>
            <w:r w:rsidRPr="00E130E4">
              <w:rPr>
                <w:rFonts w:eastAsia="標楷體"/>
              </w:rPr>
              <w:t>》</w:t>
            </w:r>
            <w:proofErr w:type="gramEnd"/>
            <w:r w:rsidRPr="00E130E4">
              <w:rPr>
                <w:rFonts w:eastAsia="標楷體"/>
              </w:rPr>
              <w:t>，台北：東大，</w:t>
            </w:r>
            <w:r w:rsidRPr="00E130E4">
              <w:rPr>
                <w:rFonts w:eastAsia="標楷體"/>
              </w:rPr>
              <w:t>1988</w:t>
            </w:r>
            <w:r w:rsidRPr="00E130E4">
              <w:rPr>
                <w:rFonts w:eastAsia="標楷體"/>
              </w:rPr>
              <w:t>。</w:t>
            </w:r>
          </w:p>
          <w:p w:rsidR="006D297A" w:rsidRPr="00E130E4" w:rsidRDefault="006D297A" w:rsidP="00B07E3C">
            <w:pPr>
              <w:numPr>
                <w:ilvl w:val="0"/>
                <w:numId w:val="1"/>
              </w:numPr>
              <w:jc w:val="both"/>
              <w:rPr>
                <w:rFonts w:eastAsia="標楷體"/>
              </w:rPr>
            </w:pPr>
            <w:r w:rsidRPr="00E130E4">
              <w:rPr>
                <w:rFonts w:eastAsia="標楷體"/>
              </w:rPr>
              <w:t>林正弘，</w:t>
            </w:r>
            <w:proofErr w:type="gramStart"/>
            <w:r w:rsidRPr="00E130E4">
              <w:rPr>
                <w:rFonts w:eastAsia="標楷體"/>
              </w:rPr>
              <w:t>《</w:t>
            </w:r>
            <w:proofErr w:type="gramEnd"/>
            <w:r w:rsidRPr="00E130E4">
              <w:rPr>
                <w:rFonts w:eastAsia="標楷體"/>
              </w:rPr>
              <w:t>知識．邏輯．科學哲學</w:t>
            </w:r>
            <w:proofErr w:type="gramStart"/>
            <w:r w:rsidRPr="00E130E4">
              <w:rPr>
                <w:rFonts w:eastAsia="標楷體"/>
              </w:rPr>
              <w:t>》</w:t>
            </w:r>
            <w:proofErr w:type="gramEnd"/>
            <w:r w:rsidRPr="00E130E4">
              <w:rPr>
                <w:rFonts w:eastAsia="標楷體"/>
              </w:rPr>
              <w:t>，台北：東大，</w:t>
            </w:r>
            <w:r w:rsidRPr="00E130E4">
              <w:rPr>
                <w:rFonts w:eastAsia="標楷體"/>
              </w:rPr>
              <w:t>1985</w:t>
            </w:r>
            <w:r w:rsidRPr="00E130E4">
              <w:rPr>
                <w:rFonts w:eastAsia="標楷體"/>
              </w:rPr>
              <w:t>。</w:t>
            </w:r>
          </w:p>
          <w:p w:rsidR="006D297A" w:rsidRPr="00E130E4" w:rsidRDefault="006D297A" w:rsidP="00B07E3C">
            <w:pPr>
              <w:numPr>
                <w:ilvl w:val="0"/>
                <w:numId w:val="1"/>
              </w:numPr>
              <w:jc w:val="both"/>
              <w:rPr>
                <w:rFonts w:eastAsia="標楷體"/>
              </w:rPr>
            </w:pPr>
            <w:r w:rsidRPr="00E130E4">
              <w:rPr>
                <w:rFonts w:eastAsia="標楷體"/>
              </w:rPr>
              <w:t>林正弘，</w:t>
            </w:r>
            <w:proofErr w:type="gramStart"/>
            <w:r w:rsidRPr="00E130E4">
              <w:rPr>
                <w:rFonts w:eastAsia="標楷體"/>
              </w:rPr>
              <w:t>〈</w:t>
            </w:r>
            <w:proofErr w:type="gramEnd"/>
            <w:r w:rsidRPr="00E130E4">
              <w:rPr>
                <w:rFonts w:eastAsia="標楷體"/>
              </w:rPr>
              <w:t>過時的科學觀：邏輯經驗論的科學哲學</w:t>
            </w:r>
            <w:proofErr w:type="gramStart"/>
            <w:r w:rsidRPr="00E130E4">
              <w:rPr>
                <w:rFonts w:eastAsia="標楷體"/>
              </w:rPr>
              <w:t>〉</w:t>
            </w:r>
            <w:proofErr w:type="gramEnd"/>
            <w:r w:rsidRPr="00E130E4">
              <w:rPr>
                <w:rFonts w:eastAsia="標楷體"/>
              </w:rPr>
              <w:t>，收錄於：《當代》雜誌第十期，第十期，</w:t>
            </w:r>
            <w:r w:rsidRPr="00E130E4">
              <w:rPr>
                <w:rFonts w:eastAsia="標楷體"/>
              </w:rPr>
              <w:t>1987</w:t>
            </w:r>
            <w:r w:rsidRPr="00E130E4">
              <w:rPr>
                <w:rFonts w:eastAsia="標楷體"/>
              </w:rPr>
              <w:t>，頁</w:t>
            </w:r>
            <w:r w:rsidRPr="00E130E4">
              <w:rPr>
                <w:rFonts w:eastAsia="標楷體"/>
              </w:rPr>
              <w:t>20-26</w:t>
            </w:r>
            <w:r w:rsidRPr="00E130E4">
              <w:rPr>
                <w:rFonts w:eastAsia="標楷體"/>
              </w:rPr>
              <w:t>。</w:t>
            </w:r>
          </w:p>
          <w:p w:rsidR="006D297A" w:rsidRPr="00E130E4" w:rsidRDefault="006D297A" w:rsidP="00B07E3C">
            <w:pPr>
              <w:numPr>
                <w:ilvl w:val="0"/>
                <w:numId w:val="1"/>
              </w:numPr>
              <w:jc w:val="both"/>
              <w:rPr>
                <w:rFonts w:eastAsia="標楷體"/>
              </w:rPr>
            </w:pPr>
            <w:r w:rsidRPr="00E130E4">
              <w:rPr>
                <w:rFonts w:eastAsia="標楷體"/>
              </w:rPr>
              <w:t>洪</w:t>
            </w:r>
            <w:proofErr w:type="gramStart"/>
            <w:r w:rsidRPr="00E130E4">
              <w:rPr>
                <w:rFonts w:eastAsia="標楷體"/>
              </w:rPr>
              <w:t>鎌德著</w:t>
            </w:r>
            <w:proofErr w:type="gramEnd"/>
            <w:r w:rsidRPr="00E130E4">
              <w:rPr>
                <w:rFonts w:eastAsia="標楷體"/>
              </w:rPr>
              <w:t>，</w:t>
            </w:r>
            <w:proofErr w:type="gramStart"/>
            <w:r w:rsidRPr="00E130E4">
              <w:rPr>
                <w:rFonts w:eastAsia="標楷體"/>
              </w:rPr>
              <w:t>《</w:t>
            </w:r>
            <w:proofErr w:type="gramEnd"/>
            <w:r w:rsidRPr="00E130E4">
              <w:rPr>
                <w:rFonts w:eastAsia="標楷體"/>
              </w:rPr>
              <w:t>從唯心到唯物</w:t>
            </w:r>
            <w:r w:rsidRPr="00E130E4">
              <w:rPr>
                <w:rFonts w:eastAsia="標楷體"/>
              </w:rPr>
              <w:t xml:space="preserve"> : </w:t>
            </w:r>
            <w:r w:rsidRPr="00E130E4">
              <w:rPr>
                <w:rFonts w:eastAsia="標楷體"/>
              </w:rPr>
              <w:t>黑格爾哲學對馬克思主義的衝擊</w:t>
            </w:r>
            <w:proofErr w:type="gramStart"/>
            <w:r w:rsidRPr="00E130E4">
              <w:rPr>
                <w:rFonts w:eastAsia="標楷體"/>
              </w:rPr>
              <w:t>》</w:t>
            </w:r>
            <w:proofErr w:type="gramEnd"/>
            <w:r w:rsidRPr="00E130E4">
              <w:rPr>
                <w:rFonts w:eastAsia="標楷體"/>
              </w:rPr>
              <w:t>，台北：人本自然，</w:t>
            </w:r>
            <w:r w:rsidRPr="00E130E4">
              <w:rPr>
                <w:rFonts w:eastAsia="標楷體"/>
              </w:rPr>
              <w:t>2007</w:t>
            </w:r>
            <w:r w:rsidRPr="00E130E4">
              <w:rPr>
                <w:rFonts w:eastAsia="標楷體"/>
              </w:rPr>
              <w:t>。</w:t>
            </w:r>
          </w:p>
          <w:p w:rsidR="006D297A" w:rsidRPr="00E130E4" w:rsidRDefault="006D297A" w:rsidP="00B07E3C">
            <w:pPr>
              <w:numPr>
                <w:ilvl w:val="0"/>
                <w:numId w:val="1"/>
              </w:numPr>
              <w:jc w:val="both"/>
              <w:rPr>
                <w:rFonts w:eastAsia="標楷體"/>
              </w:rPr>
            </w:pPr>
            <w:proofErr w:type="gramStart"/>
            <w:r w:rsidRPr="00E130E4">
              <w:rPr>
                <w:rFonts w:eastAsia="標楷體"/>
              </w:rPr>
              <w:t>哈伯馬斯著</w:t>
            </w:r>
            <w:proofErr w:type="gramEnd"/>
            <w:r w:rsidRPr="00E130E4">
              <w:rPr>
                <w:rFonts w:eastAsia="標楷體"/>
              </w:rPr>
              <w:t>，杜奉賢，</w:t>
            </w:r>
            <w:r w:rsidRPr="00E130E4">
              <w:rPr>
                <w:rFonts w:eastAsia="標楷體"/>
              </w:rPr>
              <w:t xml:space="preserve"> </w:t>
            </w:r>
            <w:r w:rsidRPr="00E130E4">
              <w:rPr>
                <w:rFonts w:eastAsia="標楷體"/>
              </w:rPr>
              <w:t>陳龍森譯《論社會科學的邏輯》，台北：結構群，</w:t>
            </w:r>
            <w:r w:rsidRPr="00E130E4">
              <w:rPr>
                <w:rFonts w:eastAsia="標楷體"/>
              </w:rPr>
              <w:t>1991</w:t>
            </w:r>
            <w:r w:rsidRPr="00E130E4">
              <w:rPr>
                <w:rFonts w:eastAsia="標楷體"/>
              </w:rPr>
              <w:t>。</w:t>
            </w:r>
          </w:p>
          <w:p w:rsidR="006D297A" w:rsidRPr="00E130E4" w:rsidRDefault="006D297A" w:rsidP="00B07E3C">
            <w:pPr>
              <w:numPr>
                <w:ilvl w:val="0"/>
                <w:numId w:val="1"/>
              </w:numPr>
              <w:jc w:val="both"/>
              <w:rPr>
                <w:rFonts w:eastAsia="標楷體"/>
              </w:rPr>
            </w:pPr>
            <w:r w:rsidRPr="00E130E4">
              <w:rPr>
                <w:rFonts w:eastAsia="標楷體"/>
              </w:rPr>
              <w:t>舒</w:t>
            </w:r>
            <w:proofErr w:type="gramStart"/>
            <w:r w:rsidRPr="00E130E4">
              <w:rPr>
                <w:rFonts w:eastAsia="標楷體"/>
              </w:rPr>
              <w:t>茲著</w:t>
            </w:r>
            <w:proofErr w:type="gramEnd"/>
            <w:r w:rsidRPr="00E130E4">
              <w:rPr>
                <w:rFonts w:eastAsia="標楷體"/>
              </w:rPr>
              <w:t>，盧嵐蘭譯，《社會世界的現象學》，台北：桂冠，</w:t>
            </w:r>
            <w:r w:rsidRPr="00E130E4">
              <w:rPr>
                <w:rFonts w:eastAsia="標楷體"/>
              </w:rPr>
              <w:t>1991</w:t>
            </w:r>
            <w:r w:rsidRPr="00E130E4">
              <w:rPr>
                <w:rFonts w:eastAsia="標楷體"/>
              </w:rPr>
              <w:t>。</w:t>
            </w:r>
          </w:p>
          <w:p w:rsidR="006D297A" w:rsidRPr="00E130E4" w:rsidRDefault="006D297A" w:rsidP="00B07E3C">
            <w:pPr>
              <w:numPr>
                <w:ilvl w:val="0"/>
                <w:numId w:val="1"/>
              </w:numPr>
              <w:jc w:val="both"/>
              <w:rPr>
                <w:rFonts w:eastAsia="標楷體"/>
              </w:rPr>
            </w:pPr>
            <w:proofErr w:type="gramStart"/>
            <w:r w:rsidRPr="00E130E4">
              <w:rPr>
                <w:rFonts w:eastAsia="標楷體"/>
              </w:rPr>
              <w:t>黑格爾著</w:t>
            </w:r>
            <w:proofErr w:type="gramEnd"/>
            <w:r w:rsidRPr="00E130E4">
              <w:rPr>
                <w:rFonts w:eastAsia="標楷體"/>
              </w:rPr>
              <w:t>，賀麟譯，《小邏輯》，台北：台灣商務，</w:t>
            </w:r>
            <w:r w:rsidRPr="00E130E4">
              <w:rPr>
                <w:rFonts w:eastAsia="標楷體"/>
              </w:rPr>
              <w:t>1998</w:t>
            </w:r>
            <w:r w:rsidRPr="00E130E4">
              <w:rPr>
                <w:rFonts w:eastAsia="標楷體"/>
              </w:rPr>
              <w:t>。</w:t>
            </w:r>
          </w:p>
          <w:p w:rsidR="006D297A" w:rsidRPr="00E130E4" w:rsidRDefault="006D297A" w:rsidP="00B07E3C">
            <w:pPr>
              <w:numPr>
                <w:ilvl w:val="0"/>
                <w:numId w:val="1"/>
              </w:numPr>
              <w:jc w:val="both"/>
              <w:rPr>
                <w:rFonts w:eastAsia="標楷體"/>
              </w:rPr>
            </w:pPr>
            <w:proofErr w:type="gramStart"/>
            <w:r w:rsidRPr="00E130E4">
              <w:rPr>
                <w:rFonts w:eastAsia="標楷體"/>
              </w:rPr>
              <w:t>黑格爾著</w:t>
            </w:r>
            <w:proofErr w:type="gramEnd"/>
            <w:r w:rsidRPr="00E130E4">
              <w:rPr>
                <w:rFonts w:eastAsia="標楷體"/>
              </w:rPr>
              <w:t>，賀自昭</w:t>
            </w:r>
            <w:r w:rsidRPr="00E130E4">
              <w:rPr>
                <w:rFonts w:eastAsia="標楷體"/>
              </w:rPr>
              <w:t>.</w:t>
            </w:r>
            <w:r w:rsidRPr="00E130E4">
              <w:rPr>
                <w:rFonts w:eastAsia="標楷體"/>
              </w:rPr>
              <w:t>王玫興譯，《精神現象學》，台北：里仁，</w:t>
            </w:r>
            <w:r w:rsidRPr="00E130E4">
              <w:rPr>
                <w:rFonts w:eastAsia="標楷體"/>
              </w:rPr>
              <w:t>1984</w:t>
            </w:r>
            <w:r w:rsidRPr="00E130E4">
              <w:rPr>
                <w:rFonts w:eastAsia="標楷體"/>
              </w:rPr>
              <w:t>。</w:t>
            </w:r>
          </w:p>
          <w:p w:rsidR="006D297A" w:rsidRPr="00E130E4" w:rsidRDefault="006D297A" w:rsidP="00B07E3C">
            <w:pPr>
              <w:numPr>
                <w:ilvl w:val="0"/>
                <w:numId w:val="1"/>
              </w:numPr>
              <w:jc w:val="both"/>
              <w:rPr>
                <w:rFonts w:eastAsia="標楷體"/>
              </w:rPr>
            </w:pPr>
            <w:proofErr w:type="gramStart"/>
            <w:r w:rsidRPr="00E130E4">
              <w:rPr>
                <w:rFonts w:eastAsia="標楷體"/>
              </w:rPr>
              <w:t>馬克思著</w:t>
            </w:r>
            <w:proofErr w:type="gramEnd"/>
            <w:r w:rsidRPr="00E130E4">
              <w:rPr>
                <w:rFonts w:eastAsia="標楷體"/>
              </w:rPr>
              <w:t>，</w:t>
            </w:r>
            <w:proofErr w:type="gramStart"/>
            <w:r w:rsidRPr="00E130E4">
              <w:rPr>
                <w:rFonts w:eastAsia="標楷體"/>
              </w:rPr>
              <w:t>伊海宇譯</w:t>
            </w:r>
            <w:proofErr w:type="gramEnd"/>
            <w:r w:rsidRPr="00E130E4">
              <w:rPr>
                <w:rFonts w:eastAsia="標楷體"/>
              </w:rPr>
              <w:t>，《</w:t>
            </w:r>
            <w:r w:rsidRPr="00E130E4">
              <w:rPr>
                <w:rFonts w:eastAsia="標楷體"/>
              </w:rPr>
              <w:t>1844</w:t>
            </w:r>
            <w:r w:rsidRPr="00E130E4">
              <w:rPr>
                <w:rFonts w:eastAsia="標楷體"/>
              </w:rPr>
              <w:t>年經濟學哲學手稿》，台北：時報，</w:t>
            </w:r>
            <w:r w:rsidRPr="00E130E4">
              <w:rPr>
                <w:rFonts w:eastAsia="標楷體"/>
              </w:rPr>
              <w:t>1990</w:t>
            </w:r>
            <w:r w:rsidRPr="00E130E4">
              <w:rPr>
                <w:rFonts w:eastAsia="標楷體"/>
              </w:rPr>
              <w:t>。</w:t>
            </w:r>
          </w:p>
          <w:p w:rsidR="006D297A" w:rsidRPr="00E130E4" w:rsidRDefault="006D297A" w:rsidP="00B07E3C">
            <w:pPr>
              <w:numPr>
                <w:ilvl w:val="0"/>
                <w:numId w:val="1"/>
              </w:numPr>
              <w:jc w:val="both"/>
              <w:rPr>
                <w:rFonts w:eastAsia="標楷體"/>
              </w:rPr>
            </w:pPr>
            <w:r w:rsidRPr="00E130E4">
              <w:rPr>
                <w:rFonts w:eastAsia="標楷體"/>
              </w:rPr>
              <w:t>戴東源，</w:t>
            </w:r>
            <w:proofErr w:type="gramStart"/>
            <w:r w:rsidRPr="00E130E4">
              <w:rPr>
                <w:rFonts w:eastAsia="標楷體"/>
              </w:rPr>
              <w:t>〈</w:t>
            </w:r>
            <w:proofErr w:type="gramEnd"/>
            <w:r w:rsidRPr="00E130E4">
              <w:rPr>
                <w:rFonts w:eastAsia="標楷體"/>
              </w:rPr>
              <w:t>回顧遺忘了的維也納學圈：重新發現</w:t>
            </w:r>
            <w:proofErr w:type="gramStart"/>
            <w:r w:rsidRPr="00E130E4">
              <w:rPr>
                <w:rFonts w:eastAsia="標楷體"/>
              </w:rPr>
              <w:t>紐</w:t>
            </w:r>
            <w:proofErr w:type="gramEnd"/>
            <w:r w:rsidRPr="00E130E4">
              <w:rPr>
                <w:rFonts w:eastAsia="標楷體"/>
              </w:rPr>
              <w:t>拉特</w:t>
            </w:r>
            <w:proofErr w:type="gramStart"/>
            <w:r w:rsidRPr="00E130E4">
              <w:rPr>
                <w:rFonts w:eastAsia="標楷體"/>
              </w:rPr>
              <w:t>〉</w:t>
            </w:r>
            <w:proofErr w:type="gramEnd"/>
            <w:r w:rsidRPr="00E130E4">
              <w:rPr>
                <w:rFonts w:eastAsia="標楷體"/>
              </w:rPr>
              <w:t>，收錄於：《當代》雜誌第一八六期，頁</w:t>
            </w:r>
            <w:r w:rsidRPr="00E130E4">
              <w:rPr>
                <w:rFonts w:eastAsia="標楷體"/>
              </w:rPr>
              <w:t>10-31</w:t>
            </w:r>
            <w:r w:rsidRPr="00E130E4">
              <w:rPr>
                <w:rFonts w:eastAsia="標楷體"/>
              </w:rPr>
              <w:t>。</w:t>
            </w:r>
          </w:p>
          <w:p w:rsidR="006D297A" w:rsidRPr="00E130E4" w:rsidRDefault="006D297A" w:rsidP="00B07E3C">
            <w:pPr>
              <w:numPr>
                <w:ilvl w:val="0"/>
                <w:numId w:val="1"/>
              </w:numPr>
              <w:jc w:val="both"/>
              <w:rPr>
                <w:rFonts w:eastAsia="標楷體"/>
              </w:rPr>
            </w:pPr>
            <w:r w:rsidRPr="00E130E4">
              <w:rPr>
                <w:rFonts w:eastAsia="標楷體"/>
              </w:rPr>
              <w:t>維根斯坦，邏輯哲學論，郭英譯，台北市</w:t>
            </w:r>
            <w:r w:rsidRPr="00E130E4">
              <w:rPr>
                <w:rFonts w:eastAsia="標楷體"/>
              </w:rPr>
              <w:t xml:space="preserve"> : </w:t>
            </w:r>
            <w:r w:rsidRPr="00E130E4">
              <w:rPr>
                <w:rFonts w:eastAsia="標楷體"/>
              </w:rPr>
              <w:t>唐山</w:t>
            </w:r>
            <w:r w:rsidRPr="00E130E4">
              <w:rPr>
                <w:rFonts w:eastAsia="標楷體"/>
              </w:rPr>
              <w:t>, 1989</w:t>
            </w:r>
            <w:r w:rsidRPr="00E130E4">
              <w:rPr>
                <w:rFonts w:eastAsia="標楷體"/>
              </w:rPr>
              <w:t>。</w:t>
            </w:r>
            <w:proofErr w:type="gramStart"/>
            <w:r w:rsidRPr="00E130E4">
              <w:rPr>
                <w:rFonts w:eastAsia="標楷體"/>
              </w:rPr>
              <w:t>（</w:t>
            </w:r>
            <w:proofErr w:type="gramEnd"/>
            <w:r w:rsidRPr="00E130E4">
              <w:rPr>
                <w:rFonts w:eastAsia="標楷體"/>
              </w:rPr>
              <w:t>Wittgenstein L.,</w:t>
            </w:r>
            <w:r w:rsidRPr="00E130E4">
              <w:t xml:space="preserve"> </w:t>
            </w:r>
            <w:r w:rsidRPr="00E130E4">
              <w:rPr>
                <w:rFonts w:eastAsia="標楷體"/>
              </w:rPr>
              <w:t>Tractatus logico-philosophicus, The Germantext of Logisch-philosophische Abhandlung, with a new translation by D. F. Pears &amp; B. F. McGuinness, and with the introd. by Bertrand Russell,</w:t>
            </w:r>
            <w:r w:rsidRPr="00E130E4">
              <w:t xml:space="preserve"> </w:t>
            </w:r>
            <w:r w:rsidRPr="00E130E4">
              <w:rPr>
                <w:rFonts w:eastAsia="標楷體"/>
              </w:rPr>
              <w:t>London : Routledge &amp; Paul ; New York : Humanities Press, 1961</w:t>
            </w:r>
            <w:proofErr w:type="gramStart"/>
            <w:r w:rsidRPr="00E130E4">
              <w:rPr>
                <w:rFonts w:eastAsia="標楷體"/>
              </w:rPr>
              <w:t>）</w:t>
            </w:r>
            <w:proofErr w:type="gramEnd"/>
          </w:p>
          <w:p w:rsidR="006D297A" w:rsidRPr="00E130E4" w:rsidRDefault="006D297A" w:rsidP="00B07E3C">
            <w:pPr>
              <w:numPr>
                <w:ilvl w:val="0"/>
                <w:numId w:val="1"/>
              </w:numPr>
              <w:jc w:val="both"/>
              <w:rPr>
                <w:rFonts w:eastAsia="標楷體"/>
              </w:rPr>
            </w:pPr>
            <w:r w:rsidRPr="00E130E4">
              <w:rPr>
                <w:rFonts w:eastAsia="標楷體"/>
              </w:rPr>
              <w:t>Adorno</w:t>
            </w:r>
            <w:proofErr w:type="gramStart"/>
            <w:r w:rsidRPr="00E130E4">
              <w:rPr>
                <w:rFonts w:eastAsia="標楷體"/>
              </w:rPr>
              <w:t>,T.W</w:t>
            </w:r>
            <w:proofErr w:type="gramEnd"/>
            <w:r w:rsidRPr="00E130E4">
              <w:rPr>
                <w:rFonts w:eastAsia="標楷體"/>
              </w:rPr>
              <w:t xml:space="preserve">. et.al.(eds.),The Positivist Dispute in German Sociology, </w:t>
            </w:r>
            <w:smartTag w:uri="urn:schemas-microsoft-com:office:smarttags" w:element="place">
              <w:smartTag w:uri="urn:schemas-microsoft-com:office:smarttags" w:element="City">
                <w:r w:rsidRPr="00E130E4">
                  <w:rPr>
                    <w:rFonts w:eastAsia="標楷體"/>
                  </w:rPr>
                  <w:t>London</w:t>
                </w:r>
              </w:smartTag>
            </w:smartTag>
            <w:r w:rsidRPr="00E130E4">
              <w:rPr>
                <w:rFonts w:eastAsia="標楷體"/>
              </w:rPr>
              <w:t>:Heinemann,1976.</w:t>
            </w:r>
          </w:p>
          <w:p w:rsidR="006D297A" w:rsidRPr="00E130E4" w:rsidRDefault="006D297A" w:rsidP="00B07E3C">
            <w:pPr>
              <w:numPr>
                <w:ilvl w:val="0"/>
                <w:numId w:val="1"/>
              </w:numPr>
              <w:jc w:val="both"/>
              <w:rPr>
                <w:rFonts w:eastAsia="標楷體"/>
              </w:rPr>
            </w:pPr>
            <w:r w:rsidRPr="00E130E4">
              <w:rPr>
                <w:rFonts w:eastAsia="標楷體"/>
              </w:rPr>
              <w:t>Bernstein</w:t>
            </w:r>
            <w:proofErr w:type="gramStart"/>
            <w:r w:rsidRPr="00E130E4">
              <w:rPr>
                <w:rFonts w:eastAsia="標楷體"/>
              </w:rPr>
              <w:t>,R.J</w:t>
            </w:r>
            <w:proofErr w:type="gramEnd"/>
            <w:r w:rsidRPr="00E130E4">
              <w:rPr>
                <w:rFonts w:eastAsia="標楷體"/>
              </w:rPr>
              <w:t>.,The Restructuring of Social and Politic Theory, N.Y.and London: Harcourt Brace Jovanovich,1976.</w:t>
            </w:r>
          </w:p>
          <w:p w:rsidR="006D297A" w:rsidRPr="00E130E4" w:rsidRDefault="006D297A" w:rsidP="00B07E3C">
            <w:pPr>
              <w:numPr>
                <w:ilvl w:val="0"/>
                <w:numId w:val="1"/>
              </w:numPr>
              <w:jc w:val="both"/>
              <w:rPr>
                <w:rFonts w:eastAsia="標楷體"/>
              </w:rPr>
            </w:pPr>
            <w:r w:rsidRPr="00E130E4">
              <w:rPr>
                <w:rFonts w:eastAsia="標楷體"/>
              </w:rPr>
              <w:t xml:space="preserve">Carnap, R., Logical foundations of probability, </w:t>
            </w:r>
            <w:smartTag w:uri="urn:schemas-microsoft-com:office:smarttags" w:element="City">
              <w:r w:rsidRPr="00E130E4">
                <w:rPr>
                  <w:rFonts w:eastAsia="標楷體"/>
                </w:rPr>
                <w:t>Chicago</w:t>
              </w:r>
            </w:smartTag>
            <w:r w:rsidRPr="00E130E4">
              <w:rPr>
                <w:rFonts w:eastAsia="標楷體"/>
              </w:rPr>
              <w:t xml:space="preserve"> : </w:t>
            </w:r>
            <w:smartTag w:uri="urn:schemas-microsoft-com:office:smarttags" w:element="place">
              <w:smartTag w:uri="urn:schemas-microsoft-com:office:smarttags" w:element="PlaceType">
                <w:r w:rsidRPr="00E130E4">
                  <w:rPr>
                    <w:rFonts w:eastAsia="標楷體"/>
                  </w:rPr>
                  <w:t>University</w:t>
                </w:r>
              </w:smartTag>
              <w:r w:rsidRPr="00E130E4">
                <w:rPr>
                  <w:rFonts w:eastAsia="標楷體"/>
                </w:rPr>
                <w:t xml:space="preserve"> of </w:t>
              </w:r>
              <w:smartTag w:uri="urn:schemas-microsoft-com:office:smarttags" w:element="PlaceName">
                <w:r w:rsidRPr="00E130E4">
                  <w:rPr>
                    <w:rFonts w:eastAsia="標楷體"/>
                  </w:rPr>
                  <w:t>Chicago Press</w:t>
                </w:r>
              </w:smartTag>
            </w:smartTag>
            <w:r w:rsidRPr="00E130E4">
              <w:rPr>
                <w:rFonts w:eastAsia="標楷體"/>
              </w:rPr>
              <w:t>, c1950</w:t>
            </w:r>
          </w:p>
          <w:p w:rsidR="006D297A" w:rsidRPr="00E130E4" w:rsidRDefault="006D297A" w:rsidP="00B07E3C">
            <w:pPr>
              <w:numPr>
                <w:ilvl w:val="0"/>
                <w:numId w:val="1"/>
              </w:numPr>
              <w:jc w:val="both"/>
              <w:rPr>
                <w:rFonts w:eastAsia="標楷體"/>
              </w:rPr>
            </w:pPr>
            <w:r w:rsidRPr="00E130E4">
              <w:rPr>
                <w:rFonts w:eastAsia="標楷體"/>
              </w:rPr>
              <w:t>Carr</w:t>
            </w:r>
            <w:proofErr w:type="gramStart"/>
            <w:r w:rsidRPr="00E130E4">
              <w:rPr>
                <w:rFonts w:eastAsia="標楷體"/>
              </w:rPr>
              <w:t>,D</w:t>
            </w:r>
            <w:proofErr w:type="gramEnd"/>
            <w:r w:rsidRPr="00E130E4">
              <w:rPr>
                <w:rFonts w:eastAsia="標楷體"/>
              </w:rPr>
              <w:t>., The Crisis of European Sciences and Transcendental Phenomenology: An Introduction to Phenomenological Philosophy,</w:t>
            </w:r>
            <w:smartTag w:uri="urn:schemas-microsoft-com:office:smarttags" w:element="place">
              <w:smartTag w:uri="urn:schemas-microsoft-com:office:smarttags" w:element="City">
                <w:r w:rsidRPr="00E130E4">
                  <w:rPr>
                    <w:rFonts w:eastAsia="標楷體"/>
                  </w:rPr>
                  <w:t>Evanston</w:t>
                </w:r>
              </w:smartTag>
            </w:smartTag>
            <w:r w:rsidRPr="00E130E4">
              <w:rPr>
                <w:rFonts w:eastAsia="標楷體"/>
              </w:rPr>
              <w:t>: Northwestern Uni.Press, 1970.</w:t>
            </w:r>
          </w:p>
          <w:p w:rsidR="006D297A" w:rsidRPr="00E130E4" w:rsidRDefault="006D297A" w:rsidP="00B07E3C">
            <w:pPr>
              <w:numPr>
                <w:ilvl w:val="0"/>
                <w:numId w:val="1"/>
              </w:numPr>
              <w:jc w:val="both"/>
              <w:rPr>
                <w:rFonts w:eastAsia="標楷體"/>
              </w:rPr>
            </w:pPr>
            <w:r w:rsidRPr="00E130E4">
              <w:rPr>
                <w:rFonts w:eastAsia="標楷體"/>
              </w:rPr>
              <w:t>Chalmers</w:t>
            </w:r>
            <w:proofErr w:type="gramStart"/>
            <w:r w:rsidRPr="00E130E4">
              <w:rPr>
                <w:rFonts w:eastAsia="標楷體"/>
              </w:rPr>
              <w:t>,A.F</w:t>
            </w:r>
            <w:proofErr w:type="gramEnd"/>
            <w:r w:rsidRPr="00E130E4">
              <w:rPr>
                <w:rFonts w:eastAsia="標楷體"/>
              </w:rPr>
              <w:t>.,What is this thing Called Science?, St.Lucia, Queensland Uni.Press,2</w:t>
            </w:r>
            <w:r w:rsidRPr="00E130E4">
              <w:rPr>
                <w:rFonts w:eastAsia="標楷體"/>
                <w:vertAlign w:val="superscript"/>
              </w:rPr>
              <w:t>nd</w:t>
            </w:r>
            <w:r w:rsidRPr="00E130E4">
              <w:rPr>
                <w:rFonts w:eastAsia="標楷體"/>
              </w:rPr>
              <w:t>,1982.</w:t>
            </w:r>
          </w:p>
          <w:p w:rsidR="006D297A" w:rsidRPr="00E130E4" w:rsidRDefault="006D297A" w:rsidP="00B07E3C">
            <w:pPr>
              <w:numPr>
                <w:ilvl w:val="0"/>
                <w:numId w:val="1"/>
              </w:numPr>
              <w:jc w:val="both"/>
              <w:rPr>
                <w:rStyle w:val="citval1"/>
                <w:rFonts w:eastAsia="標楷體"/>
                <w:szCs w:val="20"/>
              </w:rPr>
            </w:pPr>
            <w:r w:rsidRPr="00E130E4">
              <w:rPr>
                <w:rStyle w:val="citval1"/>
                <w:rFonts w:eastAsia="標楷體"/>
                <w:color w:val="000000"/>
              </w:rPr>
              <w:t>Craig, W., Three Uses of the Herbrand-Gentzen Theorem in Relating Model Theory and Proof Theory, Journal of Symbolic Logic, Vol.22, No.2, 1957, pp.269-285</w:t>
            </w:r>
          </w:p>
          <w:p w:rsidR="006D297A" w:rsidRPr="00E130E4" w:rsidRDefault="006D297A" w:rsidP="00B07E3C">
            <w:pPr>
              <w:numPr>
                <w:ilvl w:val="0"/>
                <w:numId w:val="1"/>
              </w:numPr>
              <w:jc w:val="both"/>
              <w:rPr>
                <w:rStyle w:val="citval1"/>
                <w:rFonts w:eastAsia="標楷體"/>
                <w:szCs w:val="20"/>
              </w:rPr>
            </w:pPr>
            <w:r w:rsidRPr="00E130E4">
              <w:rPr>
                <w:rStyle w:val="citval1"/>
                <w:rFonts w:eastAsia="標楷體"/>
                <w:color w:val="000000"/>
              </w:rPr>
              <w:t>Craig, W.,</w:t>
            </w:r>
            <w:r w:rsidRPr="00E130E4">
              <w:t xml:space="preserve"> </w:t>
            </w:r>
            <w:r w:rsidRPr="00E130E4">
              <w:rPr>
                <w:rStyle w:val="citval1"/>
                <w:rFonts w:eastAsia="標楷體"/>
                <w:color w:val="000000"/>
              </w:rPr>
              <w:t>On Axiomatizability Within a System, Journal of Symbolic Logic, Vol.18, No.1, 1953, pp.30-32</w:t>
            </w:r>
          </w:p>
          <w:p w:rsidR="006D297A" w:rsidRPr="00E130E4" w:rsidRDefault="006D297A" w:rsidP="00B07E3C">
            <w:pPr>
              <w:numPr>
                <w:ilvl w:val="0"/>
                <w:numId w:val="1"/>
              </w:numPr>
              <w:jc w:val="both"/>
              <w:rPr>
                <w:rFonts w:eastAsia="標楷體"/>
              </w:rPr>
            </w:pPr>
            <w:r w:rsidRPr="00E130E4">
              <w:rPr>
                <w:rStyle w:val="citval1"/>
                <w:rFonts w:eastAsia="標楷體"/>
                <w:color w:val="000000"/>
              </w:rPr>
              <w:t>Craig, W., Linear Reasoning. A New Form of the Herbrand-Gentzen Theorem, Journal of Symbolic Logic, Vol 22, No.3, 1957, pp.250-268</w:t>
            </w:r>
          </w:p>
          <w:p w:rsidR="006D297A" w:rsidRPr="00E130E4" w:rsidRDefault="006D297A" w:rsidP="00B07E3C">
            <w:pPr>
              <w:numPr>
                <w:ilvl w:val="0"/>
                <w:numId w:val="1"/>
              </w:numPr>
              <w:jc w:val="both"/>
              <w:rPr>
                <w:rFonts w:eastAsia="標楷體"/>
              </w:rPr>
            </w:pPr>
            <w:r w:rsidRPr="00E130E4">
              <w:rPr>
                <w:rFonts w:eastAsia="標楷體"/>
              </w:rPr>
              <w:t>Hekman</w:t>
            </w:r>
            <w:proofErr w:type="gramStart"/>
            <w:r w:rsidRPr="00E130E4">
              <w:rPr>
                <w:rFonts w:eastAsia="標楷體"/>
              </w:rPr>
              <w:t>,Susan</w:t>
            </w:r>
            <w:proofErr w:type="gramEnd"/>
            <w:r w:rsidRPr="00E130E4">
              <w:rPr>
                <w:rFonts w:eastAsia="標楷體"/>
              </w:rPr>
              <w:t xml:space="preserve"> J.,Weber,the Ideal Type,and Contemporary Social Theory, Notre Dame: Notre Dame Uni.Press, 1983.</w:t>
            </w:r>
          </w:p>
          <w:p w:rsidR="006D297A" w:rsidRPr="00E130E4" w:rsidRDefault="006D297A" w:rsidP="00B07E3C">
            <w:pPr>
              <w:numPr>
                <w:ilvl w:val="0"/>
                <w:numId w:val="1"/>
              </w:numPr>
              <w:jc w:val="both"/>
              <w:rPr>
                <w:rFonts w:eastAsia="標楷體"/>
              </w:rPr>
            </w:pPr>
            <w:r w:rsidRPr="00E130E4">
              <w:rPr>
                <w:rFonts w:eastAsia="標楷體"/>
              </w:rPr>
              <w:t>Hempel</w:t>
            </w:r>
            <w:proofErr w:type="gramStart"/>
            <w:r w:rsidRPr="00E130E4">
              <w:rPr>
                <w:rFonts w:eastAsia="標楷體"/>
              </w:rPr>
              <w:t>,C.G</w:t>
            </w:r>
            <w:proofErr w:type="gramEnd"/>
            <w:r w:rsidRPr="00E130E4">
              <w:rPr>
                <w:rFonts w:eastAsia="標楷體"/>
              </w:rPr>
              <w:t>.,Aspects of Scientifical Explantion and Other Essays in the Philosophy of Science,N.Y.:Free Press,1965.</w:t>
            </w:r>
          </w:p>
          <w:p w:rsidR="006D297A" w:rsidRPr="00E130E4" w:rsidRDefault="006D297A" w:rsidP="00B07E3C">
            <w:pPr>
              <w:numPr>
                <w:ilvl w:val="0"/>
                <w:numId w:val="1"/>
              </w:numPr>
              <w:jc w:val="both"/>
              <w:rPr>
                <w:rFonts w:eastAsia="標楷體"/>
              </w:rPr>
            </w:pPr>
            <w:r w:rsidRPr="00E130E4">
              <w:rPr>
                <w:rFonts w:eastAsia="標楷體"/>
                <w:lang w:val="de-DE"/>
              </w:rPr>
              <w:t xml:space="preserve">Husserl, E., The crisis of European sciences and transcendental </w:t>
            </w:r>
            <w:r w:rsidRPr="00E130E4">
              <w:rPr>
                <w:rFonts w:eastAsia="標楷體"/>
                <w:lang w:val="de-DE"/>
              </w:rPr>
              <w:lastRenderedPageBreak/>
              <w:t>phenomenology : an introduction to phenomenological philosophy / Eemund Hysserl ; translated, with an introd., by David Carr, Evanston : Northwestern University Press, 1970,</w:t>
            </w:r>
            <w:r w:rsidRPr="00E130E4">
              <w:t xml:space="preserve"> </w:t>
            </w:r>
            <w:r w:rsidRPr="00E130E4">
              <w:rPr>
                <w:rFonts w:eastAsia="標楷體"/>
                <w:lang w:val="de-DE"/>
              </w:rPr>
              <w:t>Evanston : Northwestern University Press, 1970.</w:t>
            </w:r>
          </w:p>
          <w:p w:rsidR="006D297A" w:rsidRPr="00E130E4" w:rsidRDefault="006D297A" w:rsidP="00B07E3C">
            <w:pPr>
              <w:numPr>
                <w:ilvl w:val="0"/>
                <w:numId w:val="1"/>
              </w:numPr>
              <w:jc w:val="both"/>
              <w:rPr>
                <w:rFonts w:eastAsia="標楷體"/>
              </w:rPr>
            </w:pPr>
            <w:r w:rsidRPr="00E130E4">
              <w:rPr>
                <w:rFonts w:eastAsia="標楷體"/>
              </w:rPr>
              <w:t>Kuhn, T.S.</w:t>
            </w:r>
            <w:proofErr w:type="gramStart"/>
            <w:r w:rsidRPr="00E130E4">
              <w:rPr>
                <w:rFonts w:eastAsia="標楷體"/>
              </w:rPr>
              <w:t>,The</w:t>
            </w:r>
            <w:proofErr w:type="gramEnd"/>
            <w:r w:rsidRPr="00E130E4">
              <w:rPr>
                <w:rFonts w:eastAsia="標楷體"/>
              </w:rPr>
              <w:t xml:space="preserve"> Structure of Scientifical Revolutions,</w:t>
            </w:r>
            <w:smartTag w:uri="urn:schemas-microsoft-com:office:smarttags" w:element="City">
              <w:r w:rsidRPr="00E130E4">
                <w:rPr>
                  <w:rFonts w:eastAsia="標楷體"/>
                </w:rPr>
                <w:t>Chicago</w:t>
              </w:r>
            </w:smartTag>
            <w:r w:rsidRPr="00E130E4">
              <w:rPr>
                <w:rFonts w:eastAsia="標楷體"/>
              </w:rPr>
              <w:t xml:space="preserve">: </w:t>
            </w:r>
            <w:smartTag w:uri="urn:schemas-microsoft-com:office:smarttags" w:element="place">
              <w:smartTag w:uri="urn:schemas-microsoft-com:office:smarttags" w:element="City">
                <w:r w:rsidRPr="00E130E4">
                  <w:rPr>
                    <w:rFonts w:eastAsia="標楷體"/>
                  </w:rPr>
                  <w:t>Chicago</w:t>
                </w:r>
              </w:smartTag>
            </w:smartTag>
            <w:r w:rsidRPr="00E130E4">
              <w:rPr>
                <w:rFonts w:eastAsia="標楷體"/>
              </w:rPr>
              <w:t xml:space="preserve"> Uni.Press, 2</w:t>
            </w:r>
            <w:r w:rsidRPr="00E130E4">
              <w:rPr>
                <w:rFonts w:eastAsia="標楷體"/>
                <w:vertAlign w:val="superscript"/>
              </w:rPr>
              <w:t>nd</w:t>
            </w:r>
            <w:r w:rsidRPr="00E130E4">
              <w:rPr>
                <w:rFonts w:eastAsia="標楷體"/>
              </w:rPr>
              <w:t>,1969</w:t>
            </w:r>
            <w:r w:rsidRPr="00E130E4">
              <w:rPr>
                <w:rFonts w:eastAsia="標楷體"/>
              </w:rPr>
              <w:t>。</w:t>
            </w:r>
          </w:p>
          <w:p w:rsidR="006D297A" w:rsidRPr="00FC0DA1" w:rsidRDefault="006D297A" w:rsidP="00FC0DA1">
            <w:pPr>
              <w:numPr>
                <w:ilvl w:val="0"/>
                <w:numId w:val="1"/>
              </w:numPr>
              <w:jc w:val="both"/>
              <w:rPr>
                <w:rFonts w:eastAsia="標楷體"/>
              </w:rPr>
            </w:pPr>
            <w:r w:rsidRPr="00E130E4">
              <w:rPr>
                <w:rFonts w:eastAsia="標楷體"/>
              </w:rPr>
              <w:t xml:space="preserve">Marx K., translated by Martin Milligan, Economic and philosophic manuscripts of 1844, </w:t>
            </w:r>
            <w:smartTag w:uri="urn:schemas-microsoft-com:office:smarttags" w:element="City">
              <w:smartTag w:uri="urn:schemas-microsoft-com:office:smarttags" w:element="place">
                <w:r w:rsidRPr="00E130E4">
                  <w:rPr>
                    <w:rFonts w:eastAsia="標楷體"/>
                  </w:rPr>
                  <w:t>Buffalo</w:t>
                </w:r>
              </w:smartTag>
            </w:smartTag>
            <w:r w:rsidRPr="00E130E4">
              <w:rPr>
                <w:rFonts w:eastAsia="標楷體"/>
              </w:rPr>
              <w:t>, N. Y. : Prometheus Books, 1987</w:t>
            </w:r>
          </w:p>
          <w:p w:rsidR="006D297A" w:rsidRPr="00E130E4" w:rsidRDefault="006D297A" w:rsidP="00B07E3C">
            <w:pPr>
              <w:numPr>
                <w:ilvl w:val="0"/>
                <w:numId w:val="1"/>
              </w:numPr>
              <w:jc w:val="both"/>
              <w:rPr>
                <w:rFonts w:eastAsia="標楷體"/>
              </w:rPr>
            </w:pPr>
            <w:r w:rsidRPr="00E130E4">
              <w:rPr>
                <w:rFonts w:eastAsia="標楷體"/>
                <w:lang w:val="de-DE"/>
              </w:rPr>
              <w:t>Palmer, Richard E.,Hermeneutics; interpretation theory in Schleiermacher, Dilthey, Heidegger, and Gadamer, Evanston [Ill.] : Northwestern University Press, 1969.</w:t>
            </w:r>
          </w:p>
          <w:p w:rsidR="006D297A" w:rsidRPr="00E130E4" w:rsidRDefault="006D297A" w:rsidP="00B07E3C">
            <w:pPr>
              <w:numPr>
                <w:ilvl w:val="0"/>
                <w:numId w:val="1"/>
              </w:numPr>
              <w:jc w:val="both"/>
              <w:rPr>
                <w:rStyle w:val="a8"/>
                <w:rFonts w:eastAsia="標楷體"/>
                <w:b w:val="0"/>
                <w:bCs w:val="0"/>
                <w:lang w:val="de-DE"/>
              </w:rPr>
            </w:pPr>
            <w:r w:rsidRPr="00E130E4">
              <w:rPr>
                <w:rFonts w:eastAsia="標楷體"/>
                <w:lang w:val="de-DE"/>
              </w:rPr>
              <w:t>Piaget, J., Stucturalism, tr. By Maschler, Ch., New York, 1968.</w:t>
            </w:r>
          </w:p>
          <w:p w:rsidR="006D297A" w:rsidRPr="00E130E4" w:rsidRDefault="006D297A" w:rsidP="00B07E3C">
            <w:pPr>
              <w:numPr>
                <w:ilvl w:val="0"/>
                <w:numId w:val="1"/>
              </w:numPr>
              <w:jc w:val="both"/>
              <w:rPr>
                <w:rFonts w:eastAsia="標楷體"/>
                <w:lang w:val="de-DE"/>
              </w:rPr>
            </w:pPr>
            <w:r w:rsidRPr="00E130E4">
              <w:rPr>
                <w:rStyle w:val="a8"/>
                <w:b w:val="0"/>
                <w:bCs w:val="0"/>
              </w:rPr>
              <w:t>Popper, K. R., Logik der Forschung (The logic of scientific discovery,</w:t>
            </w:r>
            <w:r w:rsidRPr="00E130E4">
              <w:t xml:space="preserve"> New </w:t>
            </w:r>
            <w:proofErr w:type="gramStart"/>
            <w:r w:rsidRPr="00E130E4">
              <w:t>York :</w:t>
            </w:r>
            <w:proofErr w:type="gramEnd"/>
            <w:r w:rsidRPr="00E130E4">
              <w:t xml:space="preserve"> Harper &amp; Row, 1965, c1959</w:t>
            </w:r>
            <w:r w:rsidRPr="00E130E4">
              <w:rPr>
                <w:rStyle w:val="a8"/>
                <w:b w:val="0"/>
                <w:bCs w:val="0"/>
              </w:rPr>
              <w:t>),</w:t>
            </w:r>
            <w:r w:rsidRPr="00E130E4">
              <w:rPr>
                <w:b/>
                <w:bCs/>
              </w:rPr>
              <w:t xml:space="preserve"> </w:t>
            </w:r>
            <w:r w:rsidRPr="00E130E4">
              <w:t xml:space="preserve">10., verb. </w:t>
            </w:r>
            <w:proofErr w:type="gramStart"/>
            <w:r w:rsidRPr="00E130E4">
              <w:t>und</w:t>
            </w:r>
            <w:proofErr w:type="gramEnd"/>
            <w:r w:rsidRPr="00E130E4">
              <w:t xml:space="preserve"> verm. </w:t>
            </w:r>
            <w:r w:rsidRPr="00E130E4">
              <w:rPr>
                <w:lang w:val="de-DE"/>
              </w:rPr>
              <w:t>Aufl.,</w:t>
            </w:r>
            <w:r w:rsidRPr="00E130E4">
              <w:rPr>
                <w:rStyle w:val="a8"/>
                <w:lang w:val="de-DE"/>
              </w:rPr>
              <w:t xml:space="preserve"> </w:t>
            </w:r>
            <w:r w:rsidRPr="00E130E4">
              <w:rPr>
                <w:lang w:val="de-DE"/>
              </w:rPr>
              <w:t>T</w:t>
            </w:r>
            <w:r w:rsidRPr="00E130E4">
              <w:rPr>
                <w:rFonts w:eastAsia="標楷體"/>
                <w:lang w:val="de-DE"/>
              </w:rPr>
              <w:t>ü</w:t>
            </w:r>
            <w:r w:rsidRPr="00E130E4">
              <w:rPr>
                <w:lang w:val="de-DE"/>
              </w:rPr>
              <w:t>bingen : J.C.B. Mohr, 1994.</w:t>
            </w:r>
          </w:p>
          <w:p w:rsidR="006D297A" w:rsidRPr="00E130E4" w:rsidRDefault="006D297A" w:rsidP="00B07E3C">
            <w:pPr>
              <w:numPr>
                <w:ilvl w:val="0"/>
                <w:numId w:val="1"/>
              </w:numPr>
              <w:jc w:val="both"/>
              <w:rPr>
                <w:rFonts w:eastAsia="標楷體"/>
              </w:rPr>
            </w:pPr>
            <w:r w:rsidRPr="00E130E4">
              <w:rPr>
                <w:rFonts w:eastAsia="標楷體"/>
              </w:rPr>
              <w:t>Stegm</w:t>
            </w:r>
            <w:r w:rsidRPr="00E130E4">
              <w:rPr>
                <w:rFonts w:eastAsia="標楷體"/>
                <w:lang w:val="de-DE"/>
              </w:rPr>
              <w:t xml:space="preserve">üller, W., </w:t>
            </w:r>
            <w:r w:rsidRPr="00E130E4">
              <w:rPr>
                <w:rStyle w:val="a8"/>
                <w:rFonts w:eastAsia="標楷體"/>
                <w:b w:val="0"/>
              </w:rPr>
              <w:t xml:space="preserve">The structuralist view of </w:t>
            </w:r>
            <w:proofErr w:type="gramStart"/>
            <w:r w:rsidRPr="00E130E4">
              <w:rPr>
                <w:rStyle w:val="a8"/>
                <w:rFonts w:eastAsia="標楷體"/>
                <w:b w:val="0"/>
              </w:rPr>
              <w:t>theories :</w:t>
            </w:r>
            <w:proofErr w:type="gramEnd"/>
            <w:r w:rsidRPr="00E130E4">
              <w:rPr>
                <w:rStyle w:val="a8"/>
                <w:rFonts w:eastAsia="標楷體"/>
                <w:b w:val="0"/>
              </w:rPr>
              <w:t xml:space="preserve"> a possible analogue of the Bourbaki programme in physical science,</w:t>
            </w:r>
            <w:r w:rsidRPr="00E130E4">
              <w:rPr>
                <w:rStyle w:val="a8"/>
                <w:rFonts w:eastAsia="標楷體"/>
              </w:rPr>
              <w:t xml:space="preserve"> </w:t>
            </w:r>
            <w:smartTag w:uri="urn:schemas-microsoft-com:office:smarttags" w:element="State">
              <w:r w:rsidRPr="00E130E4">
                <w:rPr>
                  <w:rFonts w:eastAsia="標楷體"/>
                </w:rPr>
                <w:t>Berlin</w:t>
              </w:r>
            </w:smartTag>
            <w:r w:rsidRPr="00E130E4">
              <w:rPr>
                <w:rFonts w:eastAsia="標楷體"/>
              </w:rPr>
              <w:t xml:space="preserve"> / </w:t>
            </w:r>
            <w:smartTag w:uri="urn:schemas-microsoft-com:office:smarttags" w:element="place">
              <w:smartTag w:uri="urn:schemas-microsoft-com:office:smarttags" w:element="State">
                <w:r w:rsidRPr="00E130E4">
                  <w:rPr>
                    <w:rFonts w:eastAsia="標楷體"/>
                  </w:rPr>
                  <w:t>New York</w:t>
                </w:r>
              </w:smartTag>
            </w:smartTag>
            <w:r w:rsidRPr="00E130E4">
              <w:rPr>
                <w:rFonts w:eastAsia="標楷體"/>
              </w:rPr>
              <w:t xml:space="preserve"> : Springer-Verlag, 1979.</w:t>
            </w:r>
          </w:p>
          <w:p w:rsidR="006D297A" w:rsidRPr="00E130E4" w:rsidRDefault="006D297A" w:rsidP="00B07E3C">
            <w:pPr>
              <w:numPr>
                <w:ilvl w:val="0"/>
                <w:numId w:val="1"/>
              </w:numPr>
              <w:jc w:val="both"/>
              <w:rPr>
                <w:rFonts w:eastAsia="標楷體"/>
              </w:rPr>
            </w:pPr>
            <w:r w:rsidRPr="00E130E4">
              <w:rPr>
                <w:rFonts w:eastAsia="標楷體"/>
              </w:rPr>
              <w:t>Schutz, A., The phenomenology of the social world; translated [from the German] by George Walsh and Frederick Lehnert,</w:t>
            </w:r>
            <w:r w:rsidRPr="00E130E4">
              <w:t xml:space="preserve"> </w:t>
            </w:r>
            <w:smartTag w:uri="urn:schemas-microsoft-com:office:smarttags" w:element="City">
              <w:smartTag w:uri="urn:schemas-microsoft-com:office:smarttags" w:element="place">
                <w:r w:rsidRPr="00E130E4">
                  <w:rPr>
                    <w:rFonts w:eastAsia="標楷體"/>
                  </w:rPr>
                  <w:t>London</w:t>
                </w:r>
              </w:smartTag>
            </w:smartTag>
            <w:r w:rsidRPr="00E130E4">
              <w:rPr>
                <w:rFonts w:eastAsia="標楷體"/>
              </w:rPr>
              <w:t>, Heinemann Educational, 1972.</w:t>
            </w:r>
          </w:p>
          <w:p w:rsidR="006D297A" w:rsidRPr="00E130E4" w:rsidRDefault="006D297A" w:rsidP="00B07E3C">
            <w:pPr>
              <w:numPr>
                <w:ilvl w:val="0"/>
                <w:numId w:val="1"/>
              </w:numPr>
              <w:jc w:val="both"/>
              <w:rPr>
                <w:rFonts w:eastAsia="標楷體"/>
              </w:rPr>
            </w:pPr>
            <w:r w:rsidRPr="00E130E4">
              <w:rPr>
                <w:rFonts w:eastAsia="標楷體"/>
              </w:rPr>
              <w:t>Schlick M.,</w:t>
            </w:r>
            <w:r w:rsidRPr="00E130E4">
              <w:t xml:space="preserve"> </w:t>
            </w:r>
            <w:r w:rsidRPr="00E130E4">
              <w:rPr>
                <w:rFonts w:eastAsia="標楷體"/>
              </w:rPr>
              <w:t>Philosophical papers, edited by Henk L. Mulder and Barbara F. B. van de Velde-</w:t>
            </w:r>
            <w:proofErr w:type="gramStart"/>
            <w:r w:rsidRPr="00E130E4">
              <w:rPr>
                <w:rFonts w:eastAsia="標楷體"/>
              </w:rPr>
              <w:t>Schlick ;</w:t>
            </w:r>
            <w:proofErr w:type="gramEnd"/>
            <w:r w:rsidRPr="00E130E4">
              <w:rPr>
                <w:rFonts w:eastAsia="標楷體"/>
              </w:rPr>
              <w:t xml:space="preserve"> translated by Peter Heath, </w:t>
            </w:r>
            <w:smartTag w:uri="urn:schemas-microsoft-com:office:smarttags" w:element="place">
              <w:smartTag w:uri="urn:schemas-microsoft-com:office:smarttags" w:element="City">
                <w:r w:rsidRPr="00E130E4">
                  <w:rPr>
                    <w:rFonts w:eastAsia="標楷體"/>
                  </w:rPr>
                  <w:t>Boston</w:t>
                </w:r>
              </w:smartTag>
            </w:smartTag>
            <w:r w:rsidRPr="00E130E4">
              <w:rPr>
                <w:rFonts w:eastAsia="標楷體"/>
              </w:rPr>
              <w:t xml:space="preserve"> : D. Reidel Pub. </w:t>
            </w:r>
            <w:smartTag w:uri="urn:schemas-microsoft-com:office:smarttags" w:element="place">
              <w:r w:rsidRPr="00E130E4">
                <w:rPr>
                  <w:rFonts w:eastAsia="標楷體"/>
                </w:rPr>
                <w:t>Co.</w:t>
              </w:r>
            </w:smartTag>
            <w:r w:rsidRPr="00E130E4">
              <w:rPr>
                <w:rFonts w:eastAsia="標楷體"/>
              </w:rPr>
              <w:t>, c1979</w:t>
            </w:r>
          </w:p>
          <w:p w:rsidR="006D297A" w:rsidRPr="00E130E4" w:rsidRDefault="006D297A" w:rsidP="00B07E3C">
            <w:pPr>
              <w:numPr>
                <w:ilvl w:val="0"/>
                <w:numId w:val="1"/>
              </w:numPr>
              <w:jc w:val="both"/>
              <w:rPr>
                <w:rFonts w:eastAsia="標楷體"/>
              </w:rPr>
            </w:pPr>
            <w:r w:rsidRPr="00E130E4">
              <w:rPr>
                <w:rFonts w:eastAsia="標楷體"/>
              </w:rPr>
              <w:t>Wallace, W.L.</w:t>
            </w:r>
            <w:proofErr w:type="gramStart"/>
            <w:r w:rsidRPr="00E130E4">
              <w:rPr>
                <w:rFonts w:eastAsia="標楷體"/>
              </w:rPr>
              <w:t>,The</w:t>
            </w:r>
            <w:proofErr w:type="gramEnd"/>
            <w:r w:rsidRPr="00E130E4">
              <w:rPr>
                <w:rFonts w:eastAsia="標楷體"/>
              </w:rPr>
              <w:t xml:space="preserve"> Logic of Science in Sociology, </w:t>
            </w:r>
            <w:smartTag w:uri="urn:schemas-microsoft-com:office:smarttags" w:element="place">
              <w:smartTag w:uri="urn:schemas-microsoft-com:office:smarttags" w:element="City">
                <w:r w:rsidRPr="00E130E4">
                  <w:rPr>
                    <w:rFonts w:eastAsia="標楷體"/>
                  </w:rPr>
                  <w:t>Chicago</w:t>
                </w:r>
              </w:smartTag>
            </w:smartTag>
            <w:r w:rsidRPr="00E130E4">
              <w:rPr>
                <w:rFonts w:eastAsia="標楷體"/>
              </w:rPr>
              <w:t>:Aldine Pub.Company,1971.</w:t>
            </w:r>
          </w:p>
          <w:p w:rsidR="006D297A" w:rsidRPr="00E130E4" w:rsidRDefault="006D297A" w:rsidP="00B07E3C">
            <w:pPr>
              <w:numPr>
                <w:ilvl w:val="0"/>
                <w:numId w:val="1"/>
              </w:numPr>
              <w:jc w:val="both"/>
              <w:rPr>
                <w:rFonts w:eastAsia="標楷體"/>
              </w:rPr>
            </w:pPr>
            <w:r w:rsidRPr="00E130E4">
              <w:rPr>
                <w:rFonts w:eastAsia="標楷體"/>
              </w:rPr>
              <w:t>Weber, M.</w:t>
            </w:r>
            <w:proofErr w:type="gramStart"/>
            <w:r w:rsidRPr="00E130E4">
              <w:rPr>
                <w:rFonts w:eastAsia="標楷體"/>
              </w:rPr>
              <w:t>,Gesammelte</w:t>
            </w:r>
            <w:proofErr w:type="gramEnd"/>
            <w:r w:rsidRPr="00E130E4">
              <w:rPr>
                <w:rFonts w:eastAsia="標楷體"/>
              </w:rPr>
              <w:t xml:space="preserve"> Aufsätze zur Wissenschaftslehre, 7.Aufl., Tübingen:J.C.B.Mohr, 1988.</w:t>
            </w:r>
          </w:p>
          <w:p w:rsidR="006D297A" w:rsidRPr="00E130E4" w:rsidRDefault="006D297A" w:rsidP="00B07E3C">
            <w:pPr>
              <w:numPr>
                <w:ilvl w:val="0"/>
                <w:numId w:val="1"/>
              </w:numPr>
              <w:jc w:val="both"/>
              <w:rPr>
                <w:rFonts w:eastAsia="標楷體"/>
              </w:rPr>
            </w:pPr>
            <w:r w:rsidRPr="00E130E4">
              <w:rPr>
                <w:rFonts w:eastAsia="標楷體"/>
              </w:rPr>
              <w:t>Wenturis, N</w:t>
            </w:r>
            <w:proofErr w:type="gramStart"/>
            <w:r w:rsidRPr="00E130E4">
              <w:rPr>
                <w:rFonts w:eastAsia="標楷體"/>
              </w:rPr>
              <w:t>./</w:t>
            </w:r>
            <w:proofErr w:type="gramEnd"/>
            <w:r w:rsidRPr="00E130E4">
              <w:rPr>
                <w:rFonts w:eastAsia="標楷體"/>
              </w:rPr>
              <w:t xml:space="preserve"> van hove, W./Dreier, V., Methodologie der Sozialwissenschaften. Eine Einf</w:t>
            </w:r>
            <w:r w:rsidRPr="00E130E4">
              <w:rPr>
                <w:rFonts w:eastAsia="標楷體"/>
                <w:lang w:val="de-DE"/>
              </w:rPr>
              <w:t xml:space="preserve">ührung, </w:t>
            </w:r>
            <w:r w:rsidRPr="00E130E4">
              <w:rPr>
                <w:rFonts w:eastAsia="標楷體"/>
              </w:rPr>
              <w:t>Tübingen: Francke Verlag, 1992.</w:t>
            </w:r>
          </w:p>
        </w:tc>
      </w:tr>
      <w:tr w:rsidR="006D297A" w:rsidRPr="00E130E4" w:rsidTr="00B07E3C">
        <w:tc>
          <w:tcPr>
            <w:tcW w:w="1368" w:type="dxa"/>
            <w:vMerge w:val="restart"/>
          </w:tcPr>
          <w:p w:rsidR="006D297A" w:rsidRPr="00E130E4" w:rsidRDefault="006D297A" w:rsidP="00B07E3C">
            <w:pPr>
              <w:rPr>
                <w:sz w:val="26"/>
                <w:szCs w:val="26"/>
              </w:rPr>
            </w:pPr>
            <w:r w:rsidRPr="00E130E4">
              <w:rPr>
                <w:sz w:val="26"/>
                <w:szCs w:val="26"/>
              </w:rPr>
              <w:lastRenderedPageBreak/>
              <w:t>評量方式</w:t>
            </w:r>
          </w:p>
        </w:tc>
        <w:tc>
          <w:tcPr>
            <w:tcW w:w="859" w:type="dxa"/>
            <w:shd w:val="clear" w:color="auto" w:fill="D9D9D9"/>
          </w:tcPr>
          <w:p w:rsidR="006D297A" w:rsidRPr="00E130E4" w:rsidRDefault="006D297A" w:rsidP="00B07E3C">
            <w:r w:rsidRPr="00E130E4">
              <w:t>No.</w:t>
            </w:r>
          </w:p>
        </w:tc>
        <w:tc>
          <w:tcPr>
            <w:tcW w:w="2378" w:type="dxa"/>
            <w:gridSpan w:val="3"/>
            <w:shd w:val="clear" w:color="auto" w:fill="D9D9D9"/>
          </w:tcPr>
          <w:p w:rsidR="006D297A" w:rsidRPr="00E130E4" w:rsidRDefault="006D297A" w:rsidP="00B07E3C">
            <w:pPr>
              <w:ind w:firstLineChars="400" w:firstLine="800"/>
              <w:rPr>
                <w:sz w:val="20"/>
                <w:szCs w:val="20"/>
              </w:rPr>
            </w:pPr>
            <w:r w:rsidRPr="00E130E4">
              <w:rPr>
                <w:sz w:val="20"/>
                <w:szCs w:val="20"/>
              </w:rPr>
              <w:t>項目</w:t>
            </w:r>
          </w:p>
        </w:tc>
        <w:tc>
          <w:tcPr>
            <w:tcW w:w="1608" w:type="dxa"/>
            <w:gridSpan w:val="3"/>
            <w:shd w:val="clear" w:color="auto" w:fill="D9D9D9"/>
          </w:tcPr>
          <w:p w:rsidR="006D297A" w:rsidRPr="00E130E4" w:rsidRDefault="006D297A" w:rsidP="00B07E3C">
            <w:pPr>
              <w:rPr>
                <w:sz w:val="20"/>
                <w:szCs w:val="20"/>
              </w:rPr>
            </w:pPr>
            <w:r w:rsidRPr="00E130E4">
              <w:rPr>
                <w:sz w:val="20"/>
                <w:szCs w:val="20"/>
              </w:rPr>
              <w:t>百分比</w:t>
            </w:r>
            <w:r w:rsidRPr="00E130E4">
              <w:rPr>
                <w:sz w:val="20"/>
                <w:szCs w:val="20"/>
              </w:rPr>
              <w:t>(%)</w:t>
            </w:r>
          </w:p>
        </w:tc>
        <w:tc>
          <w:tcPr>
            <w:tcW w:w="3435" w:type="dxa"/>
            <w:shd w:val="clear" w:color="auto" w:fill="D9D9D9"/>
          </w:tcPr>
          <w:p w:rsidR="006D297A" w:rsidRPr="00E130E4" w:rsidRDefault="006D297A" w:rsidP="00B07E3C">
            <w:pPr>
              <w:rPr>
                <w:sz w:val="20"/>
                <w:szCs w:val="20"/>
              </w:rPr>
            </w:pPr>
            <w:r w:rsidRPr="00E130E4">
              <w:rPr>
                <w:sz w:val="20"/>
                <w:szCs w:val="20"/>
              </w:rPr>
              <w:t>說明</w:t>
            </w:r>
          </w:p>
        </w:tc>
      </w:tr>
      <w:tr w:rsidR="006D297A" w:rsidRPr="00E130E4" w:rsidTr="00B07E3C">
        <w:tc>
          <w:tcPr>
            <w:tcW w:w="1368" w:type="dxa"/>
            <w:vMerge/>
          </w:tcPr>
          <w:p w:rsidR="006D297A" w:rsidRPr="00E130E4" w:rsidRDefault="006D297A" w:rsidP="00B07E3C"/>
        </w:tc>
        <w:tc>
          <w:tcPr>
            <w:tcW w:w="859" w:type="dxa"/>
          </w:tcPr>
          <w:p w:rsidR="006D297A" w:rsidRPr="00E130E4" w:rsidRDefault="006D297A" w:rsidP="00B07E3C">
            <w:r w:rsidRPr="00E130E4">
              <w:t>1</w:t>
            </w:r>
          </w:p>
        </w:tc>
        <w:tc>
          <w:tcPr>
            <w:tcW w:w="2378" w:type="dxa"/>
            <w:gridSpan w:val="3"/>
          </w:tcPr>
          <w:p w:rsidR="006D297A" w:rsidRPr="00E130E4" w:rsidRDefault="006D297A" w:rsidP="00B07E3C">
            <w:pPr>
              <w:rPr>
                <w:sz w:val="20"/>
                <w:szCs w:val="20"/>
              </w:rPr>
            </w:pPr>
            <w:r w:rsidRPr="00E130E4">
              <w:rPr>
                <w:sz w:val="20"/>
                <w:szCs w:val="20"/>
              </w:rPr>
              <w:t>期中課堂報告</w:t>
            </w:r>
          </w:p>
        </w:tc>
        <w:tc>
          <w:tcPr>
            <w:tcW w:w="1608" w:type="dxa"/>
            <w:gridSpan w:val="3"/>
          </w:tcPr>
          <w:p w:rsidR="006D297A" w:rsidRPr="00E130E4" w:rsidRDefault="006D297A" w:rsidP="00B07E3C">
            <w:r w:rsidRPr="00E130E4">
              <w:t>30</w:t>
            </w:r>
          </w:p>
        </w:tc>
        <w:tc>
          <w:tcPr>
            <w:tcW w:w="3435" w:type="dxa"/>
          </w:tcPr>
          <w:p w:rsidR="006D297A" w:rsidRPr="00E130E4" w:rsidRDefault="006D297A" w:rsidP="00B07E3C"/>
        </w:tc>
      </w:tr>
      <w:tr w:rsidR="006D297A" w:rsidRPr="00E130E4" w:rsidTr="00B07E3C">
        <w:tc>
          <w:tcPr>
            <w:tcW w:w="1368" w:type="dxa"/>
            <w:vMerge/>
          </w:tcPr>
          <w:p w:rsidR="006D297A" w:rsidRPr="00E130E4" w:rsidRDefault="006D297A" w:rsidP="00B07E3C"/>
        </w:tc>
        <w:tc>
          <w:tcPr>
            <w:tcW w:w="859" w:type="dxa"/>
          </w:tcPr>
          <w:p w:rsidR="006D297A" w:rsidRPr="00E130E4" w:rsidRDefault="006D297A" w:rsidP="00B07E3C">
            <w:r w:rsidRPr="00E130E4">
              <w:t>2</w:t>
            </w:r>
          </w:p>
        </w:tc>
        <w:tc>
          <w:tcPr>
            <w:tcW w:w="2378" w:type="dxa"/>
            <w:gridSpan w:val="3"/>
          </w:tcPr>
          <w:p w:rsidR="006D297A" w:rsidRPr="00E130E4" w:rsidRDefault="006D297A" w:rsidP="00B07E3C">
            <w:pPr>
              <w:rPr>
                <w:sz w:val="20"/>
                <w:szCs w:val="20"/>
              </w:rPr>
            </w:pPr>
            <w:r w:rsidRPr="00E130E4">
              <w:rPr>
                <w:sz w:val="20"/>
                <w:szCs w:val="20"/>
              </w:rPr>
              <w:t>期末報告</w:t>
            </w:r>
          </w:p>
        </w:tc>
        <w:tc>
          <w:tcPr>
            <w:tcW w:w="1608" w:type="dxa"/>
            <w:gridSpan w:val="3"/>
          </w:tcPr>
          <w:p w:rsidR="006D297A" w:rsidRPr="00E130E4" w:rsidRDefault="006D297A" w:rsidP="00B07E3C">
            <w:r w:rsidRPr="00E130E4">
              <w:t>40</w:t>
            </w:r>
          </w:p>
        </w:tc>
        <w:tc>
          <w:tcPr>
            <w:tcW w:w="3435" w:type="dxa"/>
          </w:tcPr>
          <w:p w:rsidR="006D297A" w:rsidRPr="00E130E4" w:rsidRDefault="00FF4D44" w:rsidP="00B07E3C">
            <w:pPr>
              <w:jc w:val="both"/>
              <w:rPr>
                <w:rFonts w:eastAsia="標楷體"/>
              </w:rPr>
            </w:pPr>
            <w:r w:rsidRPr="00E130E4">
              <w:rPr>
                <w:rFonts w:eastAsia="標楷體"/>
              </w:rPr>
              <w:t>應繳交</w:t>
            </w:r>
            <w:r w:rsidRPr="00E130E4">
              <w:rPr>
                <w:rFonts w:eastAsia="標楷體"/>
              </w:rPr>
              <w:t>15,000</w:t>
            </w:r>
            <w:r w:rsidRPr="00E130E4">
              <w:rPr>
                <w:rFonts w:eastAsia="標楷體"/>
              </w:rPr>
              <w:t>字以上之書面報告一篇</w:t>
            </w:r>
          </w:p>
        </w:tc>
      </w:tr>
      <w:tr w:rsidR="006D297A" w:rsidRPr="00E130E4" w:rsidTr="00B07E3C">
        <w:tc>
          <w:tcPr>
            <w:tcW w:w="1368" w:type="dxa"/>
            <w:vMerge/>
          </w:tcPr>
          <w:p w:rsidR="006D297A" w:rsidRPr="00E130E4" w:rsidRDefault="006D297A" w:rsidP="00B07E3C"/>
        </w:tc>
        <w:tc>
          <w:tcPr>
            <w:tcW w:w="859" w:type="dxa"/>
          </w:tcPr>
          <w:p w:rsidR="006D297A" w:rsidRPr="00E130E4" w:rsidRDefault="006D297A" w:rsidP="00B07E3C">
            <w:r w:rsidRPr="00E130E4">
              <w:t>3</w:t>
            </w:r>
          </w:p>
        </w:tc>
        <w:tc>
          <w:tcPr>
            <w:tcW w:w="2378" w:type="dxa"/>
            <w:gridSpan w:val="3"/>
          </w:tcPr>
          <w:p w:rsidR="006D297A" w:rsidRPr="00E130E4" w:rsidRDefault="006D297A" w:rsidP="00B07E3C">
            <w:pPr>
              <w:rPr>
                <w:sz w:val="20"/>
                <w:szCs w:val="20"/>
              </w:rPr>
            </w:pPr>
            <w:r w:rsidRPr="00E130E4">
              <w:rPr>
                <w:sz w:val="20"/>
                <w:szCs w:val="20"/>
              </w:rPr>
              <w:t>課堂討論</w:t>
            </w:r>
          </w:p>
        </w:tc>
        <w:tc>
          <w:tcPr>
            <w:tcW w:w="1608" w:type="dxa"/>
            <w:gridSpan w:val="3"/>
          </w:tcPr>
          <w:p w:rsidR="006D297A" w:rsidRPr="00E130E4" w:rsidRDefault="006D297A" w:rsidP="00B07E3C">
            <w:r w:rsidRPr="00E130E4">
              <w:t>30</w:t>
            </w:r>
          </w:p>
        </w:tc>
        <w:tc>
          <w:tcPr>
            <w:tcW w:w="3435" w:type="dxa"/>
          </w:tcPr>
          <w:p w:rsidR="006D297A" w:rsidRPr="00E130E4" w:rsidRDefault="006D297A" w:rsidP="00B07E3C"/>
        </w:tc>
      </w:tr>
      <w:tr w:rsidR="006D297A" w:rsidRPr="00E130E4" w:rsidTr="00B07E3C">
        <w:tc>
          <w:tcPr>
            <w:tcW w:w="1368" w:type="dxa"/>
            <w:vMerge/>
            <w:tcBorders>
              <w:bottom w:val="single" w:sz="4" w:space="0" w:color="auto"/>
            </w:tcBorders>
          </w:tcPr>
          <w:p w:rsidR="006D297A" w:rsidRPr="00E130E4" w:rsidRDefault="006D297A" w:rsidP="00B07E3C"/>
        </w:tc>
        <w:tc>
          <w:tcPr>
            <w:tcW w:w="859" w:type="dxa"/>
            <w:tcBorders>
              <w:bottom w:val="single" w:sz="4" w:space="0" w:color="auto"/>
            </w:tcBorders>
          </w:tcPr>
          <w:p w:rsidR="006D297A" w:rsidRPr="00E130E4" w:rsidRDefault="006D297A" w:rsidP="00B07E3C">
            <w:r w:rsidRPr="00E130E4">
              <w:t>4</w:t>
            </w:r>
          </w:p>
        </w:tc>
        <w:tc>
          <w:tcPr>
            <w:tcW w:w="2378" w:type="dxa"/>
            <w:gridSpan w:val="3"/>
            <w:tcBorders>
              <w:bottom w:val="single" w:sz="4" w:space="0" w:color="auto"/>
            </w:tcBorders>
          </w:tcPr>
          <w:p w:rsidR="006D297A" w:rsidRPr="00E130E4" w:rsidRDefault="006D297A" w:rsidP="00B07E3C">
            <w:pPr>
              <w:rPr>
                <w:sz w:val="20"/>
                <w:szCs w:val="20"/>
              </w:rPr>
            </w:pPr>
          </w:p>
        </w:tc>
        <w:tc>
          <w:tcPr>
            <w:tcW w:w="1608" w:type="dxa"/>
            <w:gridSpan w:val="3"/>
            <w:tcBorders>
              <w:bottom w:val="single" w:sz="4" w:space="0" w:color="auto"/>
            </w:tcBorders>
          </w:tcPr>
          <w:p w:rsidR="006D297A" w:rsidRPr="00E130E4" w:rsidRDefault="006D297A" w:rsidP="00B07E3C"/>
        </w:tc>
        <w:tc>
          <w:tcPr>
            <w:tcW w:w="3435" w:type="dxa"/>
            <w:tcBorders>
              <w:bottom w:val="single" w:sz="4" w:space="0" w:color="auto"/>
            </w:tcBorders>
          </w:tcPr>
          <w:p w:rsidR="006D297A" w:rsidRPr="00E130E4" w:rsidRDefault="006D297A" w:rsidP="00B07E3C"/>
        </w:tc>
      </w:tr>
      <w:tr w:rsidR="006D297A" w:rsidRPr="00E130E4" w:rsidTr="00B07E3C">
        <w:tc>
          <w:tcPr>
            <w:tcW w:w="1368" w:type="dxa"/>
            <w:shd w:val="clear" w:color="auto" w:fill="D9D9D9"/>
          </w:tcPr>
          <w:p w:rsidR="006D297A" w:rsidRPr="00E130E4" w:rsidRDefault="006D297A" w:rsidP="00B07E3C">
            <w:pPr>
              <w:jc w:val="center"/>
              <w:rPr>
                <w:b/>
                <w:sz w:val="26"/>
                <w:szCs w:val="26"/>
              </w:rPr>
            </w:pPr>
            <w:proofErr w:type="gramStart"/>
            <w:r w:rsidRPr="00E130E4">
              <w:rPr>
                <w:b/>
                <w:sz w:val="26"/>
                <w:szCs w:val="26"/>
              </w:rPr>
              <w:t>週</w:t>
            </w:r>
            <w:proofErr w:type="gramEnd"/>
            <w:r w:rsidRPr="00E130E4">
              <w:rPr>
                <w:b/>
                <w:sz w:val="26"/>
                <w:szCs w:val="26"/>
              </w:rPr>
              <w:t xml:space="preserve"> </w:t>
            </w:r>
            <w:r w:rsidRPr="00E130E4">
              <w:rPr>
                <w:b/>
                <w:sz w:val="26"/>
                <w:szCs w:val="26"/>
              </w:rPr>
              <w:t>次</w:t>
            </w:r>
          </w:p>
        </w:tc>
        <w:tc>
          <w:tcPr>
            <w:tcW w:w="8280" w:type="dxa"/>
            <w:gridSpan w:val="8"/>
            <w:shd w:val="clear" w:color="auto" w:fill="D9D9D9"/>
          </w:tcPr>
          <w:p w:rsidR="006D297A" w:rsidRPr="00E130E4" w:rsidRDefault="006D297A" w:rsidP="00B07E3C">
            <w:pPr>
              <w:jc w:val="center"/>
              <w:rPr>
                <w:b/>
              </w:rPr>
            </w:pPr>
            <w:r w:rsidRPr="00E130E4">
              <w:rPr>
                <w:b/>
              </w:rPr>
              <w:t>單元主題</w:t>
            </w:r>
            <w:r w:rsidRPr="00E130E4">
              <w:rPr>
                <w:b/>
                <w:color w:val="FF0000"/>
              </w:rPr>
              <w:t>(</w:t>
            </w:r>
            <w:r w:rsidRPr="00E130E4">
              <w:rPr>
                <w:b/>
                <w:color w:val="FF0000"/>
              </w:rPr>
              <w:t>單元主題之下一行</w:t>
            </w:r>
            <w:proofErr w:type="gramStart"/>
            <w:r w:rsidRPr="00E130E4">
              <w:rPr>
                <w:b/>
                <w:color w:val="FF0000"/>
              </w:rPr>
              <w:t>請列必</w:t>
            </w:r>
            <w:proofErr w:type="gramEnd"/>
            <w:r w:rsidRPr="00E130E4">
              <w:rPr>
                <w:b/>
                <w:color w:val="FF0000"/>
              </w:rPr>
              <w:t>讀教材</w:t>
            </w:r>
            <w:r w:rsidRPr="00E130E4">
              <w:rPr>
                <w:b/>
                <w:color w:val="FF0000"/>
              </w:rPr>
              <w:t>)</w:t>
            </w:r>
          </w:p>
        </w:tc>
      </w:tr>
      <w:tr w:rsidR="006D297A" w:rsidRPr="00E130E4" w:rsidTr="00B07E3C">
        <w:trPr>
          <w:trHeight w:val="642"/>
        </w:trPr>
        <w:tc>
          <w:tcPr>
            <w:tcW w:w="1368" w:type="dxa"/>
          </w:tcPr>
          <w:p w:rsidR="006D297A" w:rsidRPr="00E130E4" w:rsidRDefault="006D297A" w:rsidP="00B07E3C">
            <w:pPr>
              <w:jc w:val="center"/>
              <w:rPr>
                <w:sz w:val="26"/>
                <w:szCs w:val="26"/>
              </w:rPr>
            </w:pPr>
            <w:r w:rsidRPr="00E130E4">
              <w:rPr>
                <w:sz w:val="26"/>
                <w:szCs w:val="26"/>
              </w:rPr>
              <w:t>第</w:t>
            </w:r>
            <w:r w:rsidRPr="00E130E4">
              <w:rPr>
                <w:sz w:val="26"/>
                <w:szCs w:val="26"/>
              </w:rPr>
              <w:t>1</w:t>
            </w:r>
            <w:proofErr w:type="gramStart"/>
            <w:r w:rsidRPr="00E130E4">
              <w:rPr>
                <w:sz w:val="26"/>
                <w:szCs w:val="26"/>
              </w:rPr>
              <w:t>週</w:t>
            </w:r>
            <w:proofErr w:type="gramEnd"/>
          </w:p>
        </w:tc>
        <w:tc>
          <w:tcPr>
            <w:tcW w:w="8280" w:type="dxa"/>
            <w:gridSpan w:val="8"/>
          </w:tcPr>
          <w:p w:rsidR="006D297A" w:rsidRPr="00E130E4" w:rsidRDefault="006D297A" w:rsidP="00B07E3C">
            <w:pPr>
              <w:jc w:val="both"/>
              <w:rPr>
                <w:rFonts w:eastAsia="標楷體"/>
              </w:rPr>
            </w:pPr>
            <w:r w:rsidRPr="00E130E4">
              <w:t>主題：</w:t>
            </w:r>
            <w:r w:rsidR="009F3026" w:rsidRPr="00E130E4">
              <w:rPr>
                <w:rFonts w:eastAsia="標楷體"/>
              </w:rPr>
              <w:t>導論</w:t>
            </w:r>
            <w:proofErr w:type="gramStart"/>
            <w:r w:rsidR="009F3026" w:rsidRPr="00E130E4">
              <w:rPr>
                <w:rFonts w:eastAsia="標楷體"/>
              </w:rPr>
              <w:t>─</w:t>
            </w:r>
            <w:proofErr w:type="gramEnd"/>
            <w:r w:rsidR="009F3026" w:rsidRPr="00E130E4">
              <w:rPr>
                <w:rFonts w:eastAsia="標楷體"/>
              </w:rPr>
              <w:t>課程介紹</w:t>
            </w:r>
          </w:p>
        </w:tc>
      </w:tr>
      <w:tr w:rsidR="006D297A" w:rsidRPr="00E130E4" w:rsidTr="00B07E3C">
        <w:trPr>
          <w:trHeight w:val="704"/>
        </w:trPr>
        <w:tc>
          <w:tcPr>
            <w:tcW w:w="1368" w:type="dxa"/>
          </w:tcPr>
          <w:p w:rsidR="006D297A" w:rsidRPr="00E130E4" w:rsidRDefault="006D297A" w:rsidP="00B07E3C">
            <w:pPr>
              <w:jc w:val="center"/>
              <w:rPr>
                <w:sz w:val="26"/>
                <w:szCs w:val="26"/>
              </w:rPr>
            </w:pPr>
            <w:r w:rsidRPr="00E130E4">
              <w:rPr>
                <w:sz w:val="26"/>
                <w:szCs w:val="26"/>
              </w:rPr>
              <w:lastRenderedPageBreak/>
              <w:t>第</w:t>
            </w:r>
            <w:r w:rsidRPr="00E130E4">
              <w:rPr>
                <w:sz w:val="26"/>
                <w:szCs w:val="26"/>
              </w:rPr>
              <w:t>2</w:t>
            </w:r>
            <w:proofErr w:type="gramStart"/>
            <w:r w:rsidRPr="00E130E4">
              <w:rPr>
                <w:sz w:val="26"/>
                <w:szCs w:val="26"/>
              </w:rPr>
              <w:t>週</w:t>
            </w:r>
            <w:proofErr w:type="gramEnd"/>
          </w:p>
        </w:tc>
        <w:tc>
          <w:tcPr>
            <w:tcW w:w="8280" w:type="dxa"/>
            <w:gridSpan w:val="8"/>
          </w:tcPr>
          <w:p w:rsidR="006D297A" w:rsidRPr="00E130E4" w:rsidRDefault="006D297A" w:rsidP="00B07E3C">
            <w:pPr>
              <w:jc w:val="both"/>
              <w:rPr>
                <w:rFonts w:eastAsia="標楷體"/>
              </w:rPr>
            </w:pPr>
            <w:r w:rsidRPr="00E130E4">
              <w:t>主題：</w:t>
            </w:r>
            <w:r w:rsidR="009F3026" w:rsidRPr="00E130E4">
              <w:rPr>
                <w:rFonts w:eastAsia="標楷體"/>
              </w:rPr>
              <w:t>維也納學派的科學觀</w:t>
            </w:r>
          </w:p>
          <w:p w:rsidR="009F3026" w:rsidRPr="00E130E4" w:rsidRDefault="009F3026" w:rsidP="00B07E3C">
            <w:pPr>
              <w:jc w:val="both"/>
              <w:rPr>
                <w:rFonts w:eastAsia="標楷體"/>
              </w:rPr>
            </w:pPr>
            <w:r w:rsidRPr="00E130E4">
              <w:rPr>
                <w:rFonts w:eastAsia="標楷體"/>
              </w:rPr>
              <w:t>教材：</w:t>
            </w:r>
          </w:p>
          <w:p w:rsidR="009F3026" w:rsidRPr="00E130E4" w:rsidRDefault="009F3026" w:rsidP="00B07E3C">
            <w:pPr>
              <w:ind w:left="900" w:hangingChars="375" w:hanging="900"/>
              <w:jc w:val="both"/>
              <w:rPr>
                <w:rFonts w:eastAsia="標楷體"/>
              </w:rPr>
            </w:pPr>
            <w:r w:rsidRPr="00E130E4">
              <w:rPr>
                <w:rFonts w:eastAsia="標楷體"/>
              </w:rPr>
              <w:t xml:space="preserve">Carnap, R., Logical foundations of probability, </w:t>
            </w:r>
            <w:smartTag w:uri="urn:schemas-microsoft-com:office:smarttags" w:element="City">
              <w:r w:rsidRPr="00E130E4">
                <w:rPr>
                  <w:rFonts w:eastAsia="標楷體"/>
                </w:rPr>
                <w:t>Chicago</w:t>
              </w:r>
            </w:smartTag>
            <w:r w:rsidRPr="00E130E4">
              <w:rPr>
                <w:rFonts w:eastAsia="標楷體"/>
              </w:rPr>
              <w:t xml:space="preserve"> : </w:t>
            </w:r>
            <w:smartTag w:uri="urn:schemas-microsoft-com:office:smarttags" w:element="place">
              <w:smartTag w:uri="urn:schemas-microsoft-com:office:smarttags" w:element="PlaceType">
                <w:r w:rsidRPr="00E130E4">
                  <w:rPr>
                    <w:rFonts w:eastAsia="標楷體"/>
                  </w:rPr>
                  <w:t>University</w:t>
                </w:r>
              </w:smartTag>
              <w:r w:rsidRPr="00E130E4">
                <w:rPr>
                  <w:rFonts w:eastAsia="標楷體"/>
                </w:rPr>
                <w:t xml:space="preserve"> of </w:t>
              </w:r>
              <w:smartTag w:uri="urn:schemas-microsoft-com:office:smarttags" w:element="PlaceName">
                <w:r w:rsidRPr="00E130E4">
                  <w:rPr>
                    <w:rFonts w:eastAsia="標楷體"/>
                  </w:rPr>
                  <w:t>Chicago Press</w:t>
                </w:r>
              </w:smartTag>
            </w:smartTag>
            <w:r w:rsidRPr="00E130E4">
              <w:rPr>
                <w:rFonts w:eastAsia="標楷體"/>
              </w:rPr>
              <w:t>, c1950</w:t>
            </w:r>
          </w:p>
          <w:p w:rsidR="009F3026" w:rsidRPr="00E130E4" w:rsidRDefault="009F3026" w:rsidP="00B07E3C">
            <w:pPr>
              <w:ind w:left="720" w:hangingChars="300" w:hanging="720"/>
              <w:jc w:val="both"/>
              <w:rPr>
                <w:rFonts w:eastAsia="標楷體"/>
              </w:rPr>
            </w:pPr>
            <w:r w:rsidRPr="00E130E4">
              <w:rPr>
                <w:rFonts w:eastAsia="標楷體"/>
              </w:rPr>
              <w:t>Schlick M.,</w:t>
            </w:r>
            <w:r w:rsidRPr="00E130E4">
              <w:t xml:space="preserve"> </w:t>
            </w:r>
            <w:r w:rsidRPr="00E130E4">
              <w:rPr>
                <w:rFonts w:eastAsia="標楷體"/>
              </w:rPr>
              <w:t>Philosophical papers, edited by Henk L. Mulder and Barbara F. B. van de Velde-</w:t>
            </w:r>
            <w:proofErr w:type="gramStart"/>
            <w:r w:rsidRPr="00E130E4">
              <w:rPr>
                <w:rFonts w:eastAsia="標楷體"/>
              </w:rPr>
              <w:t>Schlick ;</w:t>
            </w:r>
            <w:proofErr w:type="gramEnd"/>
            <w:r w:rsidRPr="00E130E4">
              <w:rPr>
                <w:rFonts w:eastAsia="標楷體"/>
              </w:rPr>
              <w:t xml:space="preserve"> translated by Peter Heath, </w:t>
            </w:r>
            <w:smartTag w:uri="urn:schemas-microsoft-com:office:smarttags" w:element="place">
              <w:smartTag w:uri="urn:schemas-microsoft-com:office:smarttags" w:element="City">
                <w:r w:rsidRPr="00E130E4">
                  <w:rPr>
                    <w:rFonts w:eastAsia="標楷體"/>
                  </w:rPr>
                  <w:t>Boston</w:t>
                </w:r>
              </w:smartTag>
            </w:smartTag>
            <w:r w:rsidRPr="00E130E4">
              <w:rPr>
                <w:rFonts w:eastAsia="標楷體"/>
              </w:rPr>
              <w:t xml:space="preserve"> : D. Reidel Pub. </w:t>
            </w:r>
            <w:smartTag w:uri="urn:schemas-microsoft-com:office:smarttags" w:element="place">
              <w:r w:rsidRPr="00E130E4">
                <w:rPr>
                  <w:rFonts w:eastAsia="標楷體"/>
                </w:rPr>
                <w:t>Co.</w:t>
              </w:r>
            </w:smartTag>
            <w:r w:rsidRPr="00E130E4">
              <w:rPr>
                <w:rFonts w:eastAsia="標楷體"/>
              </w:rPr>
              <w:t>, c1979</w:t>
            </w:r>
          </w:p>
          <w:p w:rsidR="009F3026" w:rsidRPr="00E130E4" w:rsidRDefault="009F3026" w:rsidP="00B07E3C">
            <w:pPr>
              <w:ind w:left="720" w:hangingChars="300" w:hanging="720"/>
              <w:jc w:val="both"/>
              <w:rPr>
                <w:rFonts w:eastAsia="標楷體"/>
              </w:rPr>
            </w:pPr>
            <w:r w:rsidRPr="00E130E4">
              <w:rPr>
                <w:rFonts w:eastAsia="標楷體"/>
              </w:rPr>
              <w:t>林正弘，</w:t>
            </w:r>
            <w:proofErr w:type="gramStart"/>
            <w:r w:rsidRPr="00E130E4">
              <w:rPr>
                <w:rFonts w:eastAsia="標楷體"/>
              </w:rPr>
              <w:t>〈</w:t>
            </w:r>
            <w:proofErr w:type="gramEnd"/>
            <w:r w:rsidRPr="00E130E4">
              <w:rPr>
                <w:rFonts w:eastAsia="標楷體"/>
              </w:rPr>
              <w:t>過時的科學觀：邏輯經驗論的科學哲學</w:t>
            </w:r>
            <w:proofErr w:type="gramStart"/>
            <w:r w:rsidRPr="00E130E4">
              <w:rPr>
                <w:rFonts w:eastAsia="標楷體"/>
              </w:rPr>
              <w:t>〉</w:t>
            </w:r>
            <w:proofErr w:type="gramEnd"/>
            <w:r w:rsidRPr="00E130E4">
              <w:rPr>
                <w:rFonts w:eastAsia="標楷體"/>
              </w:rPr>
              <w:t>，收錄於：《當代》雜誌第十期，第十期，</w:t>
            </w:r>
            <w:r w:rsidRPr="00E130E4">
              <w:rPr>
                <w:rFonts w:eastAsia="標楷體"/>
              </w:rPr>
              <w:t>1987</w:t>
            </w:r>
            <w:r w:rsidRPr="00E130E4">
              <w:rPr>
                <w:rFonts w:eastAsia="標楷體"/>
              </w:rPr>
              <w:t>，頁</w:t>
            </w:r>
            <w:r w:rsidRPr="00E130E4">
              <w:rPr>
                <w:rFonts w:eastAsia="標楷體"/>
              </w:rPr>
              <w:t>20-26</w:t>
            </w:r>
            <w:r w:rsidRPr="00E130E4">
              <w:rPr>
                <w:rFonts w:eastAsia="標楷體"/>
              </w:rPr>
              <w:t>。</w:t>
            </w:r>
          </w:p>
          <w:p w:rsidR="009F3026" w:rsidRPr="00E130E4" w:rsidRDefault="009F3026" w:rsidP="00B07E3C">
            <w:pPr>
              <w:ind w:left="720" w:hangingChars="300" w:hanging="720"/>
              <w:jc w:val="both"/>
              <w:rPr>
                <w:rFonts w:eastAsia="標楷體"/>
              </w:rPr>
            </w:pPr>
            <w:r w:rsidRPr="00E130E4">
              <w:rPr>
                <w:rFonts w:eastAsia="標楷體"/>
              </w:rPr>
              <w:t>戴東源，</w:t>
            </w:r>
            <w:proofErr w:type="gramStart"/>
            <w:r w:rsidRPr="00E130E4">
              <w:rPr>
                <w:rFonts w:eastAsia="標楷體"/>
              </w:rPr>
              <w:t>〈</w:t>
            </w:r>
            <w:proofErr w:type="gramEnd"/>
            <w:r w:rsidRPr="00E130E4">
              <w:rPr>
                <w:rFonts w:eastAsia="標楷體"/>
              </w:rPr>
              <w:t>回顧遺忘了的維也納學圈：重新發現</w:t>
            </w:r>
            <w:proofErr w:type="gramStart"/>
            <w:r w:rsidRPr="00E130E4">
              <w:rPr>
                <w:rFonts w:eastAsia="標楷體"/>
              </w:rPr>
              <w:t>紐</w:t>
            </w:r>
            <w:proofErr w:type="gramEnd"/>
            <w:r w:rsidRPr="00E130E4">
              <w:rPr>
                <w:rFonts w:eastAsia="標楷體"/>
              </w:rPr>
              <w:t>拉特</w:t>
            </w:r>
            <w:proofErr w:type="gramStart"/>
            <w:r w:rsidRPr="00E130E4">
              <w:rPr>
                <w:rFonts w:eastAsia="標楷體"/>
              </w:rPr>
              <w:t>〉</w:t>
            </w:r>
            <w:proofErr w:type="gramEnd"/>
            <w:r w:rsidRPr="00E130E4">
              <w:rPr>
                <w:rFonts w:eastAsia="標楷體"/>
              </w:rPr>
              <w:t>，收錄於：《當代》雜誌第一八六期，頁</w:t>
            </w:r>
            <w:r w:rsidRPr="00E130E4">
              <w:rPr>
                <w:rFonts w:eastAsia="標楷體"/>
              </w:rPr>
              <w:t>10-31</w:t>
            </w:r>
            <w:r w:rsidRPr="00E130E4">
              <w:rPr>
                <w:rFonts w:eastAsia="標楷體"/>
              </w:rPr>
              <w:t>。</w:t>
            </w:r>
          </w:p>
          <w:p w:rsidR="009F3026" w:rsidRPr="00E130E4" w:rsidRDefault="009F3026" w:rsidP="00B07E3C">
            <w:pPr>
              <w:jc w:val="both"/>
              <w:rPr>
                <w:rFonts w:eastAsia="標楷體"/>
              </w:rPr>
            </w:pPr>
          </w:p>
          <w:p w:rsidR="009F3026" w:rsidRPr="00E130E4" w:rsidRDefault="009F3026" w:rsidP="00B07E3C">
            <w:pPr>
              <w:jc w:val="both"/>
              <w:rPr>
                <w:rFonts w:eastAsia="標楷體"/>
              </w:rPr>
            </w:pPr>
            <w:r w:rsidRPr="00E130E4">
              <w:rPr>
                <w:rFonts w:eastAsia="標楷體"/>
              </w:rPr>
              <w:t>延伸閱讀：</w:t>
            </w:r>
          </w:p>
          <w:p w:rsidR="006D297A" w:rsidRPr="00E130E4" w:rsidRDefault="009F3026" w:rsidP="00B07E3C">
            <w:pPr>
              <w:ind w:left="720" w:hangingChars="300" w:hanging="720"/>
              <w:rPr>
                <w:rFonts w:eastAsia="標楷體"/>
              </w:rPr>
            </w:pPr>
            <w:r w:rsidRPr="00E130E4">
              <w:rPr>
                <w:rFonts w:eastAsia="標楷體"/>
              </w:rPr>
              <w:t>維根斯坦，邏輯哲學論，郭英譯，台北市</w:t>
            </w:r>
            <w:r w:rsidRPr="00E130E4">
              <w:rPr>
                <w:rFonts w:eastAsia="標楷體"/>
              </w:rPr>
              <w:t xml:space="preserve"> : </w:t>
            </w:r>
            <w:r w:rsidRPr="00E130E4">
              <w:rPr>
                <w:rFonts w:eastAsia="標楷體"/>
              </w:rPr>
              <w:t>唐山</w:t>
            </w:r>
            <w:r w:rsidRPr="00E130E4">
              <w:rPr>
                <w:rFonts w:eastAsia="標楷體"/>
              </w:rPr>
              <w:t>, 1989</w:t>
            </w:r>
            <w:r w:rsidRPr="00E130E4">
              <w:rPr>
                <w:rFonts w:eastAsia="標楷體"/>
              </w:rPr>
              <w:t>。</w:t>
            </w:r>
            <w:proofErr w:type="gramStart"/>
            <w:r w:rsidRPr="00E130E4">
              <w:rPr>
                <w:rFonts w:eastAsia="標楷體"/>
              </w:rPr>
              <w:t>（</w:t>
            </w:r>
            <w:proofErr w:type="gramEnd"/>
            <w:r w:rsidRPr="00E130E4">
              <w:rPr>
                <w:rFonts w:eastAsia="標楷體"/>
              </w:rPr>
              <w:t>Wittgenstein L.,</w:t>
            </w:r>
            <w:r w:rsidRPr="00E130E4">
              <w:t xml:space="preserve"> </w:t>
            </w:r>
            <w:r w:rsidRPr="00E130E4">
              <w:rPr>
                <w:rFonts w:eastAsia="標楷體"/>
              </w:rPr>
              <w:t>Tractatus logico-philosophicus, The Germantext of Logisch-philosophische Abhandlung, with a new translation by D. F. Pears &amp; B. F. McGuinness, and with the introd. by Bertrand Russell,</w:t>
            </w:r>
            <w:r w:rsidRPr="00E130E4">
              <w:t xml:space="preserve"> </w:t>
            </w:r>
            <w:r w:rsidRPr="00E130E4">
              <w:rPr>
                <w:rFonts w:eastAsia="標楷體"/>
              </w:rPr>
              <w:t>London : Routledge &amp; Paul ; New York : Humanities Press, 1961</w:t>
            </w:r>
            <w:proofErr w:type="gramStart"/>
            <w:r w:rsidRPr="00E130E4">
              <w:rPr>
                <w:rFonts w:eastAsia="標楷體"/>
              </w:rPr>
              <w:t>）</w:t>
            </w:r>
            <w:proofErr w:type="gramEnd"/>
          </w:p>
        </w:tc>
      </w:tr>
      <w:tr w:rsidR="006D297A" w:rsidRPr="00E130E4" w:rsidTr="00B07E3C">
        <w:trPr>
          <w:trHeight w:val="531"/>
        </w:trPr>
        <w:tc>
          <w:tcPr>
            <w:tcW w:w="1368" w:type="dxa"/>
          </w:tcPr>
          <w:p w:rsidR="006D297A" w:rsidRPr="00E130E4" w:rsidRDefault="006D297A" w:rsidP="00B07E3C">
            <w:pPr>
              <w:jc w:val="center"/>
              <w:rPr>
                <w:sz w:val="26"/>
                <w:szCs w:val="26"/>
              </w:rPr>
            </w:pPr>
            <w:r w:rsidRPr="00E130E4">
              <w:rPr>
                <w:sz w:val="26"/>
                <w:szCs w:val="26"/>
              </w:rPr>
              <w:t>第</w:t>
            </w:r>
            <w:r w:rsidRPr="00E130E4">
              <w:rPr>
                <w:sz w:val="26"/>
                <w:szCs w:val="26"/>
              </w:rPr>
              <w:t>3</w:t>
            </w:r>
            <w:proofErr w:type="gramStart"/>
            <w:r w:rsidRPr="00E130E4">
              <w:rPr>
                <w:sz w:val="26"/>
                <w:szCs w:val="26"/>
              </w:rPr>
              <w:t>週</w:t>
            </w:r>
            <w:proofErr w:type="gramEnd"/>
          </w:p>
        </w:tc>
        <w:tc>
          <w:tcPr>
            <w:tcW w:w="8280" w:type="dxa"/>
            <w:gridSpan w:val="8"/>
          </w:tcPr>
          <w:p w:rsidR="009F3026" w:rsidRPr="00E130E4" w:rsidRDefault="006D297A" w:rsidP="00B07E3C">
            <w:pPr>
              <w:jc w:val="both"/>
              <w:rPr>
                <w:rFonts w:eastAsia="標楷體"/>
              </w:rPr>
            </w:pPr>
            <w:r w:rsidRPr="00E130E4">
              <w:t>主題：</w:t>
            </w:r>
            <w:r w:rsidR="009F3026" w:rsidRPr="00E130E4">
              <w:rPr>
                <w:rFonts w:eastAsia="標楷體"/>
              </w:rPr>
              <w:t>經驗分析科學之方法意涵、假設檢驗與理論建構；</w:t>
            </w:r>
            <w:r w:rsidR="009F3026" w:rsidRPr="00E130E4">
              <w:rPr>
                <w:rFonts w:eastAsia="標楷體"/>
              </w:rPr>
              <w:t>Hempel</w:t>
            </w:r>
            <w:r w:rsidR="009F3026" w:rsidRPr="00E130E4">
              <w:rPr>
                <w:rFonts w:eastAsia="標楷體"/>
              </w:rPr>
              <w:t>的「科學說明之涵蓋律模式」</w:t>
            </w:r>
          </w:p>
          <w:p w:rsidR="009F3026" w:rsidRPr="00E130E4" w:rsidRDefault="009F3026" w:rsidP="00B07E3C">
            <w:pPr>
              <w:jc w:val="both"/>
              <w:rPr>
                <w:rFonts w:eastAsia="標楷體"/>
              </w:rPr>
            </w:pPr>
            <w:r w:rsidRPr="00E130E4">
              <w:rPr>
                <w:rFonts w:eastAsia="標楷體"/>
              </w:rPr>
              <w:t>教材：</w:t>
            </w:r>
          </w:p>
          <w:p w:rsidR="009F3026" w:rsidRPr="00E130E4" w:rsidRDefault="009F3026" w:rsidP="00B07E3C">
            <w:pPr>
              <w:ind w:left="720" w:hangingChars="300" w:hanging="720"/>
              <w:jc w:val="both"/>
              <w:rPr>
                <w:rFonts w:eastAsia="標楷體"/>
              </w:rPr>
            </w:pPr>
            <w:r w:rsidRPr="00E130E4">
              <w:rPr>
                <w:rFonts w:eastAsia="標楷體"/>
              </w:rPr>
              <w:t xml:space="preserve">Wallace W.L., The Logic of Science in Sociology, </w:t>
            </w:r>
            <w:smartTag w:uri="urn:schemas-microsoft-com:office:smarttags" w:element="place">
              <w:smartTag w:uri="urn:schemas-microsoft-com:office:smarttags" w:element="City">
                <w:r w:rsidRPr="00E130E4">
                  <w:rPr>
                    <w:rFonts w:eastAsia="標楷體"/>
                  </w:rPr>
                  <w:t>Chicago</w:t>
                </w:r>
              </w:smartTag>
            </w:smartTag>
            <w:proofErr w:type="gramStart"/>
            <w:r w:rsidRPr="00E130E4">
              <w:rPr>
                <w:rFonts w:eastAsia="標楷體"/>
              </w:rPr>
              <w:t>:Aldine</w:t>
            </w:r>
            <w:proofErr w:type="gramEnd"/>
            <w:r w:rsidRPr="00E130E4">
              <w:rPr>
                <w:rFonts w:eastAsia="標楷體"/>
              </w:rPr>
              <w:t xml:space="preserve"> Pub. Company, 1971, pp.11-29; 33-59; 63-128</w:t>
            </w:r>
          </w:p>
          <w:p w:rsidR="009F3026" w:rsidRPr="00E130E4" w:rsidRDefault="009F3026" w:rsidP="00B07E3C">
            <w:pPr>
              <w:ind w:left="720" w:hangingChars="300" w:hanging="720"/>
              <w:jc w:val="both"/>
              <w:rPr>
                <w:rFonts w:eastAsia="標楷體"/>
              </w:rPr>
            </w:pPr>
            <w:proofErr w:type="gramStart"/>
            <w:r w:rsidRPr="00E130E4">
              <w:rPr>
                <w:rFonts w:eastAsia="標楷體"/>
              </w:rPr>
              <w:t>Stanley Lieberson</w:t>
            </w:r>
            <w:r w:rsidRPr="00E130E4">
              <w:rPr>
                <w:rFonts w:eastAsia="標楷體"/>
              </w:rPr>
              <w:t>著</w:t>
            </w:r>
            <w:proofErr w:type="gramEnd"/>
            <w:r w:rsidRPr="00E130E4">
              <w:rPr>
                <w:rFonts w:eastAsia="標楷體"/>
              </w:rPr>
              <w:t xml:space="preserve">, </w:t>
            </w:r>
            <w:r w:rsidRPr="00E130E4">
              <w:rPr>
                <w:rFonts w:eastAsia="標楷體"/>
              </w:rPr>
              <w:t>陳孟君</w:t>
            </w:r>
            <w:r w:rsidRPr="00E130E4">
              <w:rPr>
                <w:rFonts w:eastAsia="標楷體"/>
              </w:rPr>
              <w:t xml:space="preserve"> </w:t>
            </w:r>
            <w:r w:rsidRPr="00E130E4">
              <w:rPr>
                <w:rFonts w:eastAsia="標楷體"/>
              </w:rPr>
              <w:t>譯</w:t>
            </w:r>
            <w:r w:rsidRPr="00E130E4">
              <w:rPr>
                <w:rFonts w:eastAsia="標楷體"/>
              </w:rPr>
              <w:t xml:space="preserve">, </w:t>
            </w:r>
            <w:r w:rsidRPr="00E130E4">
              <w:rPr>
                <w:rFonts w:eastAsia="標楷體"/>
              </w:rPr>
              <w:t>量化的反思</w:t>
            </w:r>
            <w:r w:rsidRPr="00E130E4">
              <w:rPr>
                <w:rFonts w:eastAsia="標楷體"/>
              </w:rPr>
              <w:t>-</w:t>
            </w:r>
            <w:r w:rsidRPr="00E130E4">
              <w:rPr>
                <w:rFonts w:eastAsia="標楷體"/>
              </w:rPr>
              <w:t>重探社會研究的邏輯</w:t>
            </w:r>
            <w:r w:rsidRPr="00E130E4">
              <w:rPr>
                <w:rFonts w:eastAsia="標楷體"/>
              </w:rPr>
              <w:t xml:space="preserve">, </w:t>
            </w:r>
            <w:r w:rsidRPr="00E130E4">
              <w:rPr>
                <w:rFonts w:eastAsia="標楷體"/>
              </w:rPr>
              <w:t>台北</w:t>
            </w:r>
            <w:r w:rsidRPr="00E130E4">
              <w:rPr>
                <w:rFonts w:eastAsia="標楷體"/>
              </w:rPr>
              <w:t>:</w:t>
            </w:r>
            <w:r w:rsidRPr="00E130E4">
              <w:rPr>
                <w:rFonts w:eastAsia="標楷體"/>
              </w:rPr>
              <w:t>巨流</w:t>
            </w:r>
            <w:r w:rsidRPr="00E130E4">
              <w:rPr>
                <w:rFonts w:eastAsia="標楷體"/>
              </w:rPr>
              <w:t>,2001</w:t>
            </w:r>
            <w:r w:rsidRPr="00E130E4">
              <w:rPr>
                <w:rFonts w:eastAsia="標楷體"/>
              </w:rPr>
              <w:t>。</w:t>
            </w:r>
          </w:p>
          <w:p w:rsidR="009F3026" w:rsidRPr="00E130E4" w:rsidRDefault="009F3026" w:rsidP="00B07E3C">
            <w:pPr>
              <w:ind w:left="720" w:hangingChars="300" w:hanging="720"/>
              <w:jc w:val="both"/>
              <w:rPr>
                <w:rFonts w:eastAsia="標楷體"/>
              </w:rPr>
            </w:pPr>
            <w:r w:rsidRPr="00E130E4">
              <w:rPr>
                <w:rFonts w:eastAsia="標楷體"/>
              </w:rPr>
              <w:t>Hempel</w:t>
            </w:r>
            <w:proofErr w:type="gramStart"/>
            <w:r w:rsidRPr="00E130E4">
              <w:rPr>
                <w:rFonts w:eastAsia="標楷體"/>
              </w:rPr>
              <w:t>,C.G</w:t>
            </w:r>
            <w:proofErr w:type="gramEnd"/>
            <w:r w:rsidRPr="00E130E4">
              <w:rPr>
                <w:rFonts w:eastAsia="標楷體"/>
              </w:rPr>
              <w:t>.,Aspects of Scientifical Explantion and Other Essays in the Philosophy of Science,N.Y.:Free Press,1965.</w:t>
            </w:r>
          </w:p>
          <w:p w:rsidR="006D297A" w:rsidRPr="00E130E4" w:rsidRDefault="009F3026" w:rsidP="00B07E3C">
            <w:pPr>
              <w:ind w:left="720" w:hangingChars="300" w:hanging="720"/>
              <w:jc w:val="both"/>
              <w:rPr>
                <w:rFonts w:eastAsia="標楷體"/>
              </w:rPr>
            </w:pPr>
            <w:r w:rsidRPr="00E130E4">
              <w:rPr>
                <w:rFonts w:eastAsia="標楷體"/>
              </w:rPr>
              <w:t>林正弘，〈科學說明涵蓋律模式之檢討〉，收錄於：</w:t>
            </w:r>
            <w:proofErr w:type="gramStart"/>
            <w:r w:rsidRPr="00E130E4">
              <w:rPr>
                <w:rFonts w:eastAsia="標楷體"/>
              </w:rPr>
              <w:t>氏著</w:t>
            </w:r>
            <w:proofErr w:type="gramEnd"/>
            <w:r w:rsidRPr="00E130E4">
              <w:rPr>
                <w:rFonts w:eastAsia="標楷體"/>
              </w:rPr>
              <w:t>，</w:t>
            </w:r>
            <w:proofErr w:type="gramStart"/>
            <w:r w:rsidRPr="00E130E4">
              <w:rPr>
                <w:rFonts w:eastAsia="標楷體"/>
              </w:rPr>
              <w:t>《</w:t>
            </w:r>
            <w:proofErr w:type="gramEnd"/>
            <w:r w:rsidRPr="00E130E4">
              <w:rPr>
                <w:rFonts w:eastAsia="標楷體"/>
              </w:rPr>
              <w:t>伽利略．</w:t>
            </w:r>
            <w:proofErr w:type="gramStart"/>
            <w:r w:rsidRPr="00E130E4">
              <w:rPr>
                <w:rFonts w:eastAsia="標楷體"/>
              </w:rPr>
              <w:t>波柏．</w:t>
            </w:r>
            <w:proofErr w:type="gramEnd"/>
            <w:r w:rsidRPr="00E130E4">
              <w:rPr>
                <w:rFonts w:eastAsia="標楷體"/>
              </w:rPr>
              <w:t>科學說明</w:t>
            </w:r>
            <w:proofErr w:type="gramStart"/>
            <w:r w:rsidRPr="00E130E4">
              <w:rPr>
                <w:rFonts w:eastAsia="標楷體"/>
              </w:rPr>
              <w:t>》</w:t>
            </w:r>
            <w:proofErr w:type="gramEnd"/>
            <w:r w:rsidRPr="00E130E4">
              <w:rPr>
                <w:rFonts w:eastAsia="標楷體"/>
              </w:rPr>
              <w:t>，台北：東大，</w:t>
            </w:r>
            <w:r w:rsidRPr="00E130E4">
              <w:rPr>
                <w:rFonts w:eastAsia="標楷體"/>
              </w:rPr>
              <w:t>1988</w:t>
            </w:r>
            <w:r w:rsidRPr="00E130E4">
              <w:rPr>
                <w:rFonts w:eastAsia="標楷體"/>
              </w:rPr>
              <w:t>，頁</w:t>
            </w:r>
            <w:r w:rsidRPr="00E130E4">
              <w:rPr>
                <w:rFonts w:eastAsia="標楷體"/>
              </w:rPr>
              <w:t>39-66</w:t>
            </w:r>
            <w:r w:rsidRPr="00E130E4">
              <w:rPr>
                <w:rFonts w:eastAsia="標楷體"/>
              </w:rPr>
              <w:t>。</w:t>
            </w:r>
          </w:p>
        </w:tc>
      </w:tr>
      <w:tr w:rsidR="006D297A" w:rsidRPr="00E130E4" w:rsidTr="00B07E3C">
        <w:trPr>
          <w:trHeight w:val="719"/>
        </w:trPr>
        <w:tc>
          <w:tcPr>
            <w:tcW w:w="1368" w:type="dxa"/>
          </w:tcPr>
          <w:p w:rsidR="006D297A" w:rsidRPr="00E130E4" w:rsidRDefault="006D297A" w:rsidP="00B07E3C">
            <w:pPr>
              <w:jc w:val="center"/>
              <w:rPr>
                <w:sz w:val="26"/>
                <w:szCs w:val="26"/>
              </w:rPr>
            </w:pPr>
            <w:r w:rsidRPr="00E130E4">
              <w:rPr>
                <w:sz w:val="26"/>
                <w:szCs w:val="26"/>
              </w:rPr>
              <w:t>第</w:t>
            </w:r>
            <w:r w:rsidRPr="00E130E4">
              <w:rPr>
                <w:sz w:val="26"/>
                <w:szCs w:val="26"/>
              </w:rPr>
              <w:t>4</w:t>
            </w:r>
            <w:proofErr w:type="gramStart"/>
            <w:r w:rsidRPr="00E130E4">
              <w:rPr>
                <w:sz w:val="26"/>
                <w:szCs w:val="26"/>
              </w:rPr>
              <w:t>週</w:t>
            </w:r>
            <w:proofErr w:type="gramEnd"/>
          </w:p>
        </w:tc>
        <w:tc>
          <w:tcPr>
            <w:tcW w:w="8280" w:type="dxa"/>
            <w:gridSpan w:val="8"/>
          </w:tcPr>
          <w:p w:rsidR="0047011D" w:rsidRPr="00E130E4" w:rsidRDefault="006D297A" w:rsidP="00B07E3C">
            <w:pPr>
              <w:jc w:val="both"/>
              <w:rPr>
                <w:rFonts w:eastAsia="標楷體"/>
              </w:rPr>
            </w:pPr>
            <w:r w:rsidRPr="00E130E4">
              <w:t>主題：</w:t>
            </w:r>
            <w:r w:rsidR="0047011D" w:rsidRPr="00E130E4">
              <w:rPr>
                <w:rFonts w:eastAsia="標楷體"/>
              </w:rPr>
              <w:t>Popper</w:t>
            </w:r>
            <w:r w:rsidR="0047011D" w:rsidRPr="00E130E4">
              <w:rPr>
                <w:rFonts w:eastAsia="標楷體"/>
              </w:rPr>
              <w:t>的「</w:t>
            </w:r>
            <w:proofErr w:type="gramStart"/>
            <w:r w:rsidR="0047011D" w:rsidRPr="00E130E4">
              <w:rPr>
                <w:rFonts w:eastAsia="標楷體"/>
              </w:rPr>
              <w:t>否證論</w:t>
            </w:r>
            <w:proofErr w:type="gramEnd"/>
            <w:r w:rsidR="0047011D" w:rsidRPr="00E130E4">
              <w:rPr>
                <w:rFonts w:eastAsia="標楷體"/>
              </w:rPr>
              <w:t>」與</w:t>
            </w:r>
            <w:r w:rsidR="0047011D" w:rsidRPr="00E130E4">
              <w:rPr>
                <w:rFonts w:eastAsia="標楷體"/>
              </w:rPr>
              <w:t>Kuhn</w:t>
            </w:r>
            <w:r w:rsidR="0047011D" w:rsidRPr="00E130E4">
              <w:rPr>
                <w:rFonts w:eastAsia="標楷體"/>
              </w:rPr>
              <w:t>的「典範論」</w:t>
            </w:r>
          </w:p>
          <w:p w:rsidR="0047011D" w:rsidRPr="00E130E4" w:rsidRDefault="0047011D" w:rsidP="00B07E3C">
            <w:pPr>
              <w:jc w:val="both"/>
              <w:rPr>
                <w:rFonts w:eastAsia="標楷體"/>
              </w:rPr>
            </w:pPr>
            <w:r w:rsidRPr="00E130E4">
              <w:rPr>
                <w:rFonts w:eastAsia="標楷體"/>
              </w:rPr>
              <w:t>教材：</w:t>
            </w:r>
          </w:p>
          <w:p w:rsidR="0047011D" w:rsidRPr="00E130E4" w:rsidRDefault="0047011D" w:rsidP="00B07E3C">
            <w:pPr>
              <w:ind w:left="720" w:hangingChars="300" w:hanging="720"/>
              <w:jc w:val="both"/>
              <w:rPr>
                <w:rFonts w:eastAsia="標楷體"/>
              </w:rPr>
            </w:pPr>
            <w:r w:rsidRPr="00E130E4">
              <w:rPr>
                <w:rStyle w:val="a8"/>
                <w:b w:val="0"/>
                <w:bCs w:val="0"/>
              </w:rPr>
              <w:t>Popper, K. R., The logic of scientific discovery,</w:t>
            </w:r>
            <w:r w:rsidRPr="00E130E4">
              <w:t xml:space="preserve"> </w:t>
            </w:r>
            <w:smartTag w:uri="urn:schemas-microsoft-com:office:smarttags" w:element="place">
              <w:smartTag w:uri="urn:schemas-microsoft-com:office:smarttags" w:element="State">
                <w:r w:rsidRPr="00E130E4">
                  <w:t xml:space="preserve">New </w:t>
                </w:r>
                <w:proofErr w:type="gramStart"/>
                <w:r w:rsidRPr="00E130E4">
                  <w:t>York</w:t>
                </w:r>
              </w:smartTag>
            </w:smartTag>
            <w:r w:rsidRPr="00E130E4">
              <w:t xml:space="preserve"> :</w:t>
            </w:r>
            <w:proofErr w:type="gramEnd"/>
            <w:r w:rsidRPr="00E130E4">
              <w:t xml:space="preserve"> Harper &amp; Row, 1965, c1959, (</w:t>
            </w:r>
            <w:r w:rsidRPr="00E130E4">
              <w:rPr>
                <w:rStyle w:val="a8"/>
                <w:b w:val="0"/>
                <w:bCs w:val="0"/>
              </w:rPr>
              <w:t>Logik der Forschung,</w:t>
            </w:r>
            <w:r w:rsidRPr="00E130E4">
              <w:rPr>
                <w:b/>
                <w:bCs/>
              </w:rPr>
              <w:t xml:space="preserve"> </w:t>
            </w:r>
            <w:r w:rsidRPr="00E130E4">
              <w:t xml:space="preserve">10., verb. und verm. </w:t>
            </w:r>
            <w:proofErr w:type="gramStart"/>
            <w:r w:rsidRPr="00E130E4">
              <w:t>Aufl.,</w:t>
            </w:r>
            <w:proofErr w:type="gramEnd"/>
            <w:r w:rsidRPr="00E130E4">
              <w:rPr>
                <w:rStyle w:val="a8"/>
              </w:rPr>
              <w:t xml:space="preserve"> </w:t>
            </w:r>
            <w:smartTag w:uri="urn:schemas-microsoft-com:office:smarttags" w:element="place">
              <w:smartTag w:uri="urn:schemas-microsoft-com:office:smarttags" w:element="City">
                <w:r w:rsidRPr="00E130E4">
                  <w:t>Tubingen</w:t>
                </w:r>
              </w:smartTag>
            </w:smartTag>
            <w:r w:rsidRPr="00E130E4">
              <w:t xml:space="preserve"> : J.C.B. Mohr, 1994.)</w:t>
            </w:r>
          </w:p>
          <w:p w:rsidR="0047011D" w:rsidRPr="00E130E4" w:rsidRDefault="0047011D" w:rsidP="00B07E3C">
            <w:pPr>
              <w:ind w:left="720" w:hangingChars="300" w:hanging="720"/>
              <w:jc w:val="both"/>
              <w:rPr>
                <w:rFonts w:eastAsia="標楷體"/>
              </w:rPr>
            </w:pPr>
            <w:r w:rsidRPr="00E130E4">
              <w:rPr>
                <w:rFonts w:eastAsia="標楷體"/>
              </w:rPr>
              <w:t>林正弘，</w:t>
            </w:r>
            <w:proofErr w:type="gramStart"/>
            <w:r w:rsidRPr="00E130E4">
              <w:rPr>
                <w:rFonts w:eastAsia="標楷體"/>
              </w:rPr>
              <w:t>〈</w:t>
            </w:r>
            <w:proofErr w:type="gramEnd"/>
            <w:r w:rsidRPr="00E130E4">
              <w:rPr>
                <w:rFonts w:eastAsia="標楷體"/>
              </w:rPr>
              <w:t>卡爾．</w:t>
            </w:r>
            <w:proofErr w:type="gramStart"/>
            <w:r w:rsidRPr="00E130E4">
              <w:rPr>
                <w:rFonts w:eastAsia="標楷體"/>
              </w:rPr>
              <w:t>波柏與</w:t>
            </w:r>
            <w:proofErr w:type="gramEnd"/>
            <w:r w:rsidRPr="00E130E4">
              <w:rPr>
                <w:rFonts w:eastAsia="標楷體"/>
              </w:rPr>
              <w:t>當代科學哲學的蛻變</w:t>
            </w:r>
            <w:proofErr w:type="gramStart"/>
            <w:r w:rsidRPr="00E130E4">
              <w:rPr>
                <w:rFonts w:eastAsia="標楷體"/>
              </w:rPr>
              <w:t>〉</w:t>
            </w:r>
            <w:proofErr w:type="gramEnd"/>
            <w:r w:rsidRPr="00E130E4">
              <w:rPr>
                <w:rFonts w:eastAsia="標楷體"/>
              </w:rPr>
              <w:t>，收錄於：</w:t>
            </w:r>
            <w:proofErr w:type="gramStart"/>
            <w:r w:rsidRPr="00E130E4">
              <w:rPr>
                <w:rFonts w:eastAsia="標楷體"/>
              </w:rPr>
              <w:t>氏著</w:t>
            </w:r>
            <w:proofErr w:type="gramEnd"/>
            <w:r w:rsidRPr="00E130E4">
              <w:rPr>
                <w:rFonts w:eastAsia="標楷體"/>
              </w:rPr>
              <w:t>，</w:t>
            </w:r>
            <w:proofErr w:type="gramStart"/>
            <w:r w:rsidRPr="00E130E4">
              <w:rPr>
                <w:rFonts w:eastAsia="標楷體"/>
              </w:rPr>
              <w:t>《</w:t>
            </w:r>
            <w:proofErr w:type="gramEnd"/>
            <w:r w:rsidRPr="00E130E4">
              <w:rPr>
                <w:rFonts w:eastAsia="標楷體"/>
              </w:rPr>
              <w:t>伽利略．</w:t>
            </w:r>
            <w:proofErr w:type="gramStart"/>
            <w:r w:rsidRPr="00E130E4">
              <w:rPr>
                <w:rFonts w:eastAsia="標楷體"/>
              </w:rPr>
              <w:t>波柏．</w:t>
            </w:r>
            <w:proofErr w:type="gramEnd"/>
            <w:r w:rsidRPr="00E130E4">
              <w:rPr>
                <w:rFonts w:eastAsia="標楷體"/>
              </w:rPr>
              <w:t>科學說明</w:t>
            </w:r>
            <w:proofErr w:type="gramStart"/>
            <w:r w:rsidRPr="00E130E4">
              <w:rPr>
                <w:rFonts w:eastAsia="標楷體"/>
              </w:rPr>
              <w:t>》</w:t>
            </w:r>
            <w:proofErr w:type="gramEnd"/>
            <w:r w:rsidRPr="00E130E4">
              <w:rPr>
                <w:rFonts w:eastAsia="標楷體"/>
              </w:rPr>
              <w:t>，台北：東大，</w:t>
            </w:r>
            <w:r w:rsidRPr="00E130E4">
              <w:rPr>
                <w:rFonts w:eastAsia="標楷體"/>
              </w:rPr>
              <w:t>1988</w:t>
            </w:r>
            <w:r w:rsidRPr="00E130E4">
              <w:rPr>
                <w:rFonts w:eastAsia="標楷體"/>
              </w:rPr>
              <w:t>，頁</w:t>
            </w:r>
            <w:r w:rsidRPr="00E130E4">
              <w:rPr>
                <w:rFonts w:eastAsia="標楷體"/>
              </w:rPr>
              <w:t>69-108</w:t>
            </w:r>
            <w:r w:rsidRPr="00E130E4">
              <w:rPr>
                <w:rFonts w:eastAsia="標楷體"/>
              </w:rPr>
              <w:t>。</w:t>
            </w:r>
          </w:p>
          <w:p w:rsidR="006D297A" w:rsidRPr="00E130E4" w:rsidRDefault="0047011D" w:rsidP="00B07E3C">
            <w:pPr>
              <w:ind w:left="720" w:hangingChars="300" w:hanging="720"/>
              <w:jc w:val="both"/>
              <w:rPr>
                <w:rFonts w:eastAsia="標楷體"/>
              </w:rPr>
            </w:pPr>
            <w:r w:rsidRPr="00E130E4">
              <w:rPr>
                <w:rFonts w:eastAsia="標楷體"/>
              </w:rPr>
              <w:t>Kuhn, T.S.</w:t>
            </w:r>
            <w:proofErr w:type="gramStart"/>
            <w:r w:rsidRPr="00E130E4">
              <w:rPr>
                <w:rFonts w:eastAsia="標楷體"/>
              </w:rPr>
              <w:t>,The</w:t>
            </w:r>
            <w:proofErr w:type="gramEnd"/>
            <w:r w:rsidRPr="00E130E4">
              <w:rPr>
                <w:rFonts w:eastAsia="標楷體"/>
              </w:rPr>
              <w:t xml:space="preserve"> Structure of Scientifical Revolutions,Chicago: Chicago Uni.Press, 2</w:t>
            </w:r>
            <w:r w:rsidRPr="00E130E4">
              <w:rPr>
                <w:rFonts w:eastAsia="標楷體"/>
                <w:vertAlign w:val="superscript"/>
              </w:rPr>
              <w:t>nd</w:t>
            </w:r>
            <w:r w:rsidRPr="00E130E4">
              <w:rPr>
                <w:rFonts w:eastAsia="標楷體"/>
              </w:rPr>
              <w:t>,1969,pp.10-42</w:t>
            </w:r>
            <w:r w:rsidRPr="00E130E4">
              <w:rPr>
                <w:rFonts w:eastAsia="標楷體"/>
              </w:rPr>
              <w:t>。</w:t>
            </w:r>
          </w:p>
        </w:tc>
      </w:tr>
      <w:tr w:rsidR="006D297A" w:rsidRPr="00E130E4" w:rsidTr="00B07E3C">
        <w:trPr>
          <w:trHeight w:val="712"/>
        </w:trPr>
        <w:tc>
          <w:tcPr>
            <w:tcW w:w="1368" w:type="dxa"/>
          </w:tcPr>
          <w:p w:rsidR="006D297A" w:rsidRPr="00E130E4" w:rsidRDefault="006D297A" w:rsidP="00B07E3C">
            <w:pPr>
              <w:jc w:val="center"/>
              <w:rPr>
                <w:sz w:val="26"/>
                <w:szCs w:val="26"/>
              </w:rPr>
            </w:pPr>
            <w:r w:rsidRPr="00E130E4">
              <w:rPr>
                <w:sz w:val="26"/>
                <w:szCs w:val="26"/>
              </w:rPr>
              <w:lastRenderedPageBreak/>
              <w:t>第</w:t>
            </w:r>
            <w:r w:rsidRPr="00E130E4">
              <w:rPr>
                <w:sz w:val="26"/>
                <w:szCs w:val="26"/>
              </w:rPr>
              <w:t>5</w:t>
            </w:r>
            <w:proofErr w:type="gramStart"/>
            <w:r w:rsidRPr="00E130E4">
              <w:rPr>
                <w:sz w:val="26"/>
                <w:szCs w:val="26"/>
              </w:rPr>
              <w:t>週</w:t>
            </w:r>
            <w:proofErr w:type="gramEnd"/>
          </w:p>
        </w:tc>
        <w:tc>
          <w:tcPr>
            <w:tcW w:w="8280" w:type="dxa"/>
            <w:gridSpan w:val="8"/>
          </w:tcPr>
          <w:p w:rsidR="00D51569" w:rsidRPr="00E130E4" w:rsidRDefault="006D297A" w:rsidP="00B07E3C">
            <w:pPr>
              <w:jc w:val="both"/>
              <w:rPr>
                <w:rFonts w:eastAsia="標楷體"/>
                <w:lang w:val="de-DE"/>
              </w:rPr>
            </w:pPr>
            <w:r w:rsidRPr="00E130E4">
              <w:t>主題：</w:t>
            </w:r>
            <w:r w:rsidR="00D51569" w:rsidRPr="00E130E4">
              <w:rPr>
                <w:rFonts w:eastAsia="標楷體"/>
                <w:lang w:val="de-DE"/>
              </w:rPr>
              <w:t>Piaget</w:t>
            </w:r>
            <w:r w:rsidR="00D51569" w:rsidRPr="00E130E4">
              <w:rPr>
                <w:rFonts w:eastAsia="標楷體"/>
                <w:lang w:val="de-DE"/>
              </w:rPr>
              <w:t>發生學的結構主義觀點</w:t>
            </w:r>
          </w:p>
          <w:p w:rsidR="00D51569" w:rsidRPr="00E130E4" w:rsidRDefault="00D51569" w:rsidP="00B07E3C">
            <w:pPr>
              <w:jc w:val="both"/>
              <w:rPr>
                <w:rFonts w:eastAsia="標楷體"/>
                <w:lang w:val="de-DE"/>
              </w:rPr>
            </w:pPr>
            <w:r w:rsidRPr="00E130E4">
              <w:rPr>
                <w:rFonts w:eastAsia="標楷體"/>
                <w:lang w:val="de-DE"/>
              </w:rPr>
              <w:t>教材：</w:t>
            </w:r>
          </w:p>
          <w:p w:rsidR="006D297A" w:rsidRPr="00E130E4" w:rsidRDefault="00D51569" w:rsidP="00B07E3C">
            <w:pPr>
              <w:jc w:val="both"/>
              <w:rPr>
                <w:rFonts w:eastAsia="標楷體"/>
                <w:lang w:val="de-DE"/>
              </w:rPr>
            </w:pPr>
            <w:r w:rsidRPr="00E130E4">
              <w:rPr>
                <w:rFonts w:eastAsia="標楷體"/>
                <w:lang w:val="de-DE"/>
              </w:rPr>
              <w:t>Piaget, J., Stucturalism, tr. By Maschler, Ch., New York, 1968.</w:t>
            </w:r>
          </w:p>
        </w:tc>
      </w:tr>
      <w:tr w:rsidR="006D297A" w:rsidRPr="00E130E4" w:rsidTr="00B07E3C">
        <w:trPr>
          <w:trHeight w:val="884"/>
        </w:trPr>
        <w:tc>
          <w:tcPr>
            <w:tcW w:w="1368" w:type="dxa"/>
          </w:tcPr>
          <w:p w:rsidR="006D297A" w:rsidRPr="00E130E4" w:rsidRDefault="006D297A" w:rsidP="00B07E3C">
            <w:pPr>
              <w:jc w:val="center"/>
              <w:rPr>
                <w:sz w:val="26"/>
                <w:szCs w:val="26"/>
              </w:rPr>
            </w:pPr>
            <w:r w:rsidRPr="00E130E4">
              <w:rPr>
                <w:sz w:val="26"/>
                <w:szCs w:val="26"/>
              </w:rPr>
              <w:t>第</w:t>
            </w:r>
            <w:r w:rsidRPr="00E130E4">
              <w:rPr>
                <w:sz w:val="26"/>
                <w:szCs w:val="26"/>
              </w:rPr>
              <w:t>6</w:t>
            </w:r>
            <w:proofErr w:type="gramStart"/>
            <w:r w:rsidRPr="00E130E4">
              <w:rPr>
                <w:sz w:val="26"/>
                <w:szCs w:val="26"/>
              </w:rPr>
              <w:t>週</w:t>
            </w:r>
            <w:proofErr w:type="gramEnd"/>
          </w:p>
        </w:tc>
        <w:tc>
          <w:tcPr>
            <w:tcW w:w="8280" w:type="dxa"/>
            <w:gridSpan w:val="8"/>
          </w:tcPr>
          <w:p w:rsidR="00E8402E" w:rsidRPr="00E130E4" w:rsidRDefault="006D297A" w:rsidP="00B07E3C">
            <w:pPr>
              <w:jc w:val="both"/>
              <w:rPr>
                <w:rFonts w:eastAsia="標楷體"/>
                <w:lang w:val="de-DE"/>
              </w:rPr>
            </w:pPr>
            <w:r w:rsidRPr="00E130E4">
              <w:t>主題：</w:t>
            </w:r>
            <w:r w:rsidR="00E8402E" w:rsidRPr="00E130E4">
              <w:rPr>
                <w:rFonts w:eastAsia="標楷體"/>
                <w:lang w:val="de-DE"/>
              </w:rPr>
              <w:t xml:space="preserve">Weber </w:t>
            </w:r>
            <w:r w:rsidR="00E8402E" w:rsidRPr="00E130E4">
              <w:rPr>
                <w:rFonts w:eastAsia="標楷體" w:hAnsi="標楷體"/>
                <w:lang w:val="de-DE"/>
              </w:rPr>
              <w:t>方法詮釋學</w:t>
            </w:r>
          </w:p>
          <w:p w:rsidR="00E8402E" w:rsidRPr="00E130E4" w:rsidRDefault="00E8402E" w:rsidP="00B07E3C">
            <w:pPr>
              <w:jc w:val="both"/>
              <w:rPr>
                <w:rFonts w:eastAsia="標楷體"/>
                <w:lang w:val="de-DE"/>
              </w:rPr>
            </w:pPr>
            <w:r w:rsidRPr="00E130E4">
              <w:rPr>
                <w:rFonts w:eastAsia="標楷體"/>
                <w:lang w:val="de-DE"/>
              </w:rPr>
              <w:t>教材：</w:t>
            </w:r>
          </w:p>
          <w:p w:rsidR="00E8402E" w:rsidRPr="00E130E4" w:rsidRDefault="00E8402E" w:rsidP="00B07E3C">
            <w:pPr>
              <w:ind w:left="720" w:hangingChars="300" w:hanging="720"/>
              <w:jc w:val="both"/>
              <w:rPr>
                <w:rFonts w:eastAsia="標楷體"/>
                <w:lang w:val="de-DE"/>
              </w:rPr>
            </w:pPr>
            <w:r w:rsidRPr="00E130E4">
              <w:rPr>
                <w:rFonts w:eastAsia="標楷體"/>
                <w:lang w:val="de-DE"/>
              </w:rPr>
              <w:t>Weber,M,“Die ‘Objektivität’ sozialwissenschaftlicher und sozialpolitischer Erkenntnis”, in: Weber,M.,Gesammelte Aufsätze zur Wissenschaftslehre, 7.Aufl.,Tübingen:J.C.B.Mohr, 1978, S.146-S.214.(tr. By Shils, E.A./ Finch, H.A., Max Weber. The Methodology of the Social Science, The Free Press, 1969, pp.49-112.)</w:t>
            </w:r>
          </w:p>
          <w:p w:rsidR="00E8402E" w:rsidRPr="00E130E4" w:rsidRDefault="00E8402E" w:rsidP="00B07E3C">
            <w:pPr>
              <w:ind w:left="720" w:hangingChars="300" w:hanging="720"/>
              <w:jc w:val="both"/>
              <w:rPr>
                <w:rFonts w:eastAsia="標楷體"/>
                <w:lang w:val="de-DE"/>
              </w:rPr>
            </w:pPr>
            <w:r w:rsidRPr="00E130E4">
              <w:rPr>
                <w:rFonts w:eastAsia="標楷體"/>
                <w:lang w:val="de-DE"/>
              </w:rPr>
              <w:t xml:space="preserve">Weber,M, </w:t>
            </w:r>
            <w:r w:rsidRPr="00E130E4">
              <w:rPr>
                <w:rFonts w:eastAsia="標楷體"/>
                <w:lang w:val="de-DE"/>
              </w:rPr>
              <w:t>顧忠華</w:t>
            </w:r>
            <w:r w:rsidRPr="00E130E4">
              <w:rPr>
                <w:rFonts w:eastAsia="標楷體"/>
                <w:lang w:val="de-DE"/>
              </w:rPr>
              <w:t xml:space="preserve"> </w:t>
            </w:r>
            <w:r w:rsidRPr="00E130E4">
              <w:rPr>
                <w:rFonts w:eastAsia="標楷體"/>
                <w:lang w:val="de-DE"/>
              </w:rPr>
              <w:t>譯</w:t>
            </w:r>
            <w:r w:rsidRPr="00E130E4">
              <w:rPr>
                <w:rFonts w:eastAsia="標楷體"/>
                <w:lang w:val="de-DE"/>
              </w:rPr>
              <w:t xml:space="preserve">, </w:t>
            </w:r>
            <w:r w:rsidRPr="00E130E4">
              <w:rPr>
                <w:rFonts w:eastAsia="標楷體"/>
                <w:lang w:val="de-DE"/>
              </w:rPr>
              <w:t>社會學的基本概念</w:t>
            </w:r>
            <w:r w:rsidRPr="00E130E4">
              <w:rPr>
                <w:rFonts w:eastAsia="標楷體"/>
                <w:lang w:val="de-DE"/>
              </w:rPr>
              <w:t xml:space="preserve">, </w:t>
            </w:r>
            <w:r w:rsidRPr="00E130E4">
              <w:rPr>
                <w:rFonts w:eastAsia="標楷體"/>
                <w:lang w:val="de-DE"/>
              </w:rPr>
              <w:t>台北</w:t>
            </w:r>
            <w:r w:rsidRPr="00E130E4">
              <w:rPr>
                <w:rFonts w:eastAsia="標楷體"/>
                <w:lang w:val="de-DE"/>
              </w:rPr>
              <w:t>:</w:t>
            </w:r>
            <w:r w:rsidRPr="00E130E4">
              <w:rPr>
                <w:rFonts w:eastAsia="標楷體"/>
                <w:lang w:val="de-DE"/>
              </w:rPr>
              <w:t>遠流</w:t>
            </w:r>
            <w:r w:rsidRPr="00E130E4">
              <w:rPr>
                <w:rFonts w:eastAsia="標楷體"/>
                <w:lang w:val="de-DE"/>
              </w:rPr>
              <w:t>, 2002</w:t>
            </w:r>
            <w:r w:rsidRPr="00E130E4">
              <w:rPr>
                <w:rFonts w:eastAsia="標楷體"/>
                <w:lang w:val="de-DE"/>
              </w:rPr>
              <w:t>。</w:t>
            </w:r>
          </w:p>
          <w:p w:rsidR="006D297A" w:rsidRPr="00E130E4" w:rsidRDefault="00E8402E" w:rsidP="00B07E3C">
            <w:pPr>
              <w:ind w:left="480" w:hangingChars="200" w:hanging="480"/>
              <w:jc w:val="both"/>
              <w:rPr>
                <w:rFonts w:eastAsia="標楷體"/>
                <w:lang w:val="de-DE"/>
              </w:rPr>
            </w:pPr>
            <w:r w:rsidRPr="00E130E4">
              <w:rPr>
                <w:rFonts w:eastAsia="標楷體"/>
                <w:lang w:val="de-DE"/>
              </w:rPr>
              <w:t>Käsler, D., Max Weber. Eine Einführung in Leben, Werk und Wirkung (</w:t>
            </w:r>
            <w:r w:rsidRPr="00E130E4">
              <w:rPr>
                <w:rFonts w:eastAsia="標楷體" w:hAnsi="標楷體"/>
                <w:lang w:val="de-DE"/>
              </w:rPr>
              <w:t>中譯本</w:t>
            </w:r>
            <w:r w:rsidRPr="00E130E4">
              <w:rPr>
                <w:rFonts w:eastAsia="標楷體"/>
                <w:lang w:val="de-DE"/>
              </w:rPr>
              <w:t xml:space="preserve">, </w:t>
            </w:r>
            <w:r w:rsidRPr="00E130E4">
              <w:rPr>
                <w:rFonts w:eastAsia="標楷體" w:hAnsi="標楷體"/>
                <w:lang w:val="de-DE"/>
              </w:rPr>
              <w:t>克斯勒．</w:t>
            </w:r>
            <w:proofErr w:type="gramStart"/>
            <w:r w:rsidRPr="00E130E4">
              <w:rPr>
                <w:rFonts w:eastAsia="標楷體" w:hAnsi="標楷體"/>
                <w:lang w:val="de-DE"/>
              </w:rPr>
              <w:t>迪</w:t>
            </w:r>
            <w:proofErr w:type="gramEnd"/>
            <w:r w:rsidRPr="00E130E4">
              <w:rPr>
                <w:rFonts w:eastAsia="標楷體" w:hAnsi="標楷體"/>
                <w:lang w:val="de-DE"/>
              </w:rPr>
              <w:t>爾</w:t>
            </w:r>
            <w:proofErr w:type="gramStart"/>
            <w:r w:rsidRPr="00E130E4">
              <w:rPr>
                <w:rFonts w:eastAsia="標楷體" w:hAnsi="標楷體"/>
                <w:lang w:val="de-DE"/>
              </w:rPr>
              <w:t>克著</w:t>
            </w:r>
            <w:proofErr w:type="gramEnd"/>
            <w:r w:rsidRPr="00E130E4">
              <w:rPr>
                <w:rFonts w:eastAsia="標楷體" w:hAnsi="標楷體"/>
                <w:lang w:val="de-DE"/>
              </w:rPr>
              <w:t>，郭鋒譯，</w:t>
            </w:r>
            <w:proofErr w:type="gramStart"/>
            <w:r w:rsidRPr="00E130E4">
              <w:rPr>
                <w:rFonts w:eastAsia="標楷體" w:hAnsi="標楷體"/>
                <w:lang w:val="de-DE"/>
              </w:rPr>
              <w:t>《</w:t>
            </w:r>
            <w:proofErr w:type="gramEnd"/>
            <w:r w:rsidRPr="00E130E4">
              <w:rPr>
                <w:rFonts w:eastAsia="標楷體" w:hAnsi="標楷體"/>
                <w:lang w:val="de-DE"/>
              </w:rPr>
              <w:t>馬克斯．韋伯的生平、著述及影響</w:t>
            </w:r>
            <w:proofErr w:type="gramStart"/>
            <w:r w:rsidRPr="00E130E4">
              <w:rPr>
                <w:rFonts w:eastAsia="標楷體" w:hAnsi="標楷體"/>
                <w:lang w:val="de-DE"/>
              </w:rPr>
              <w:t>》</w:t>
            </w:r>
            <w:proofErr w:type="gramEnd"/>
            <w:r w:rsidRPr="00E130E4">
              <w:rPr>
                <w:rFonts w:eastAsia="標楷體" w:hAnsi="標楷體"/>
                <w:lang w:val="de-DE"/>
              </w:rPr>
              <w:t>，北京：法律出版社，</w:t>
            </w:r>
            <w:r w:rsidRPr="00E130E4">
              <w:rPr>
                <w:rFonts w:eastAsia="標楷體"/>
                <w:lang w:val="de-DE"/>
              </w:rPr>
              <w:t>2000</w:t>
            </w:r>
            <w:r w:rsidRPr="00E130E4">
              <w:rPr>
                <w:rFonts w:eastAsia="標楷體" w:hAnsi="標楷體"/>
                <w:lang w:val="de-DE"/>
              </w:rPr>
              <w:t>。</w:t>
            </w:r>
            <w:r w:rsidRPr="00E130E4">
              <w:rPr>
                <w:rFonts w:eastAsia="標楷體"/>
                <w:lang w:val="de-DE"/>
              </w:rPr>
              <w:t>)</w:t>
            </w:r>
          </w:p>
        </w:tc>
      </w:tr>
      <w:tr w:rsidR="006D297A" w:rsidRPr="00E130E4" w:rsidTr="00B07E3C">
        <w:tc>
          <w:tcPr>
            <w:tcW w:w="1368" w:type="dxa"/>
          </w:tcPr>
          <w:p w:rsidR="006D297A" w:rsidRPr="00E130E4" w:rsidRDefault="006D297A" w:rsidP="00B07E3C">
            <w:pPr>
              <w:jc w:val="center"/>
              <w:rPr>
                <w:sz w:val="26"/>
                <w:szCs w:val="26"/>
              </w:rPr>
            </w:pPr>
            <w:r w:rsidRPr="00E130E4">
              <w:rPr>
                <w:sz w:val="26"/>
                <w:szCs w:val="26"/>
              </w:rPr>
              <w:t>第</w:t>
            </w:r>
            <w:r w:rsidRPr="00E130E4">
              <w:rPr>
                <w:sz w:val="26"/>
                <w:szCs w:val="26"/>
              </w:rPr>
              <w:t>7</w:t>
            </w:r>
            <w:proofErr w:type="gramStart"/>
            <w:r w:rsidRPr="00E130E4">
              <w:rPr>
                <w:sz w:val="26"/>
                <w:szCs w:val="26"/>
              </w:rPr>
              <w:t>週</w:t>
            </w:r>
            <w:proofErr w:type="gramEnd"/>
          </w:p>
        </w:tc>
        <w:tc>
          <w:tcPr>
            <w:tcW w:w="8280" w:type="dxa"/>
            <w:gridSpan w:val="8"/>
          </w:tcPr>
          <w:p w:rsidR="00E8402E" w:rsidRPr="00E130E4" w:rsidRDefault="006D297A" w:rsidP="00B07E3C">
            <w:pPr>
              <w:jc w:val="both"/>
              <w:rPr>
                <w:rFonts w:eastAsia="標楷體"/>
                <w:lang w:val="de-DE"/>
              </w:rPr>
            </w:pPr>
            <w:r w:rsidRPr="00E130E4">
              <w:t>主題：</w:t>
            </w:r>
            <w:r w:rsidR="00E8402E" w:rsidRPr="00E130E4">
              <w:rPr>
                <w:rFonts w:eastAsia="標楷體"/>
                <w:lang w:val="de-DE"/>
              </w:rPr>
              <w:t>一般詮釋學的起源</w:t>
            </w:r>
            <w:r w:rsidR="00E8402E" w:rsidRPr="00E130E4">
              <w:rPr>
                <w:rFonts w:eastAsia="標楷體"/>
                <w:lang w:val="de-DE"/>
              </w:rPr>
              <w:t xml:space="preserve"> Schleiermacher, Dilthey</w:t>
            </w:r>
          </w:p>
          <w:p w:rsidR="00E8402E" w:rsidRPr="00E130E4" w:rsidRDefault="00E8402E" w:rsidP="00B07E3C">
            <w:pPr>
              <w:jc w:val="both"/>
              <w:rPr>
                <w:rFonts w:eastAsia="標楷體"/>
                <w:lang w:val="de-DE"/>
              </w:rPr>
            </w:pPr>
            <w:r w:rsidRPr="00E130E4">
              <w:rPr>
                <w:rFonts w:eastAsia="標楷體"/>
              </w:rPr>
              <w:t>教材</w:t>
            </w:r>
            <w:r w:rsidRPr="00E130E4">
              <w:rPr>
                <w:rFonts w:eastAsia="標楷體"/>
                <w:lang w:val="de-DE"/>
              </w:rPr>
              <w:t>：</w:t>
            </w:r>
          </w:p>
          <w:p w:rsidR="00E8402E" w:rsidRPr="00E130E4" w:rsidRDefault="00E8402E" w:rsidP="00B07E3C">
            <w:pPr>
              <w:ind w:left="720" w:hangingChars="300" w:hanging="720"/>
              <w:jc w:val="both"/>
              <w:rPr>
                <w:rFonts w:eastAsia="標楷體"/>
                <w:lang w:val="de-DE"/>
              </w:rPr>
            </w:pPr>
            <w:r w:rsidRPr="00E130E4">
              <w:rPr>
                <w:rFonts w:eastAsia="標楷體"/>
                <w:lang w:val="de-DE"/>
              </w:rPr>
              <w:t>Palmer, Richard E.,Hermeneutics; interpretation theory in Schleiermacher, Dilthey, Heidegger, and Gadamer, Evanston [Ill.] : Northwestern University Press, 1969, pp.3-71</w:t>
            </w:r>
          </w:p>
          <w:p w:rsidR="00E8402E" w:rsidRPr="00E130E4" w:rsidRDefault="00E8402E" w:rsidP="00B07E3C">
            <w:pPr>
              <w:ind w:left="720" w:hangingChars="300" w:hanging="720"/>
              <w:jc w:val="both"/>
              <w:rPr>
                <w:rFonts w:eastAsia="標楷體"/>
                <w:lang w:val="de-DE"/>
              </w:rPr>
            </w:pPr>
            <w:r w:rsidRPr="00E130E4">
              <w:rPr>
                <w:rFonts w:eastAsia="標楷體"/>
                <w:lang w:val="de-DE"/>
              </w:rPr>
              <w:t>Schleiermacher, F. D. E., General Hermeneutics. Grammatical and Technical Interpretation. In Mueller-Vollmer, K.(ed.), The Hermeneutics Reader: Texts of the German Tradition form and Enlightenment to the Present. New York: Basil Blackwell.pp.72-97</w:t>
            </w:r>
          </w:p>
          <w:p w:rsidR="006D297A" w:rsidRPr="00E130E4" w:rsidRDefault="00E8402E" w:rsidP="00B07E3C">
            <w:pPr>
              <w:ind w:left="720" w:hangingChars="300" w:hanging="720"/>
              <w:jc w:val="both"/>
              <w:rPr>
                <w:rFonts w:eastAsia="標楷體"/>
                <w:lang w:val="de-DE"/>
              </w:rPr>
            </w:pPr>
            <w:r w:rsidRPr="00E130E4">
              <w:rPr>
                <w:rFonts w:eastAsia="標楷體"/>
                <w:lang w:val="de-DE"/>
              </w:rPr>
              <w:t>Dilthey, W., Awareness, Reality, Time. The Understanding of Other Persons and Their Life Experiences. In Mueller-Vollmer, K.(ed.), The Hermeneutics Reader: Texts of the German Tradition form and Enlightenment to the Present. New York: Basil Blackwell.pp.148-164</w:t>
            </w:r>
          </w:p>
        </w:tc>
      </w:tr>
      <w:tr w:rsidR="006D297A" w:rsidRPr="00E130E4" w:rsidTr="00B07E3C">
        <w:tc>
          <w:tcPr>
            <w:tcW w:w="1368" w:type="dxa"/>
          </w:tcPr>
          <w:p w:rsidR="006D297A" w:rsidRPr="00E130E4" w:rsidRDefault="006D297A" w:rsidP="00B07E3C">
            <w:pPr>
              <w:jc w:val="center"/>
              <w:rPr>
                <w:sz w:val="26"/>
                <w:szCs w:val="26"/>
              </w:rPr>
            </w:pPr>
            <w:r w:rsidRPr="00E130E4">
              <w:rPr>
                <w:sz w:val="26"/>
                <w:szCs w:val="26"/>
              </w:rPr>
              <w:t>第</w:t>
            </w:r>
            <w:r w:rsidRPr="00E130E4">
              <w:rPr>
                <w:sz w:val="26"/>
                <w:szCs w:val="26"/>
              </w:rPr>
              <w:t>8</w:t>
            </w:r>
            <w:proofErr w:type="gramStart"/>
            <w:r w:rsidRPr="00E130E4">
              <w:rPr>
                <w:sz w:val="26"/>
                <w:szCs w:val="26"/>
              </w:rPr>
              <w:t>週</w:t>
            </w:r>
            <w:proofErr w:type="gramEnd"/>
          </w:p>
        </w:tc>
        <w:tc>
          <w:tcPr>
            <w:tcW w:w="8280" w:type="dxa"/>
            <w:gridSpan w:val="8"/>
          </w:tcPr>
          <w:p w:rsidR="006D297A" w:rsidRPr="00E130E4" w:rsidRDefault="006D297A" w:rsidP="006D297A">
            <w:r w:rsidRPr="00E130E4">
              <w:t>主題：</w:t>
            </w:r>
            <w:r w:rsidR="00E8402E" w:rsidRPr="00E130E4">
              <w:rPr>
                <w:rFonts w:eastAsia="標楷體"/>
              </w:rPr>
              <w:t>詮釋學的存有論轉向</w:t>
            </w:r>
            <w:r w:rsidR="00E8402E" w:rsidRPr="00E130E4">
              <w:rPr>
                <w:rFonts w:eastAsia="標楷體"/>
              </w:rPr>
              <w:t xml:space="preserve"> Heidegger &amp; Gadamer</w:t>
            </w:r>
            <w:r w:rsidR="00E8402E" w:rsidRPr="00E130E4">
              <w:rPr>
                <w:rFonts w:eastAsia="標楷體"/>
              </w:rPr>
              <w:t>（一）</w:t>
            </w:r>
          </w:p>
          <w:p w:rsidR="00E8402E" w:rsidRPr="00E130E4" w:rsidRDefault="006D297A" w:rsidP="00B07E3C">
            <w:pPr>
              <w:ind w:left="720" w:hangingChars="300" w:hanging="720"/>
              <w:jc w:val="both"/>
              <w:rPr>
                <w:rFonts w:eastAsia="標楷體"/>
                <w:lang w:val="de-DE"/>
              </w:rPr>
            </w:pPr>
            <w:r w:rsidRPr="00E130E4">
              <w:t>教材：</w:t>
            </w:r>
            <w:r w:rsidR="00E8402E" w:rsidRPr="00E130E4">
              <w:rPr>
                <w:rFonts w:eastAsia="標楷體"/>
                <w:lang w:val="de-DE"/>
              </w:rPr>
              <w:t xml:space="preserve"> Palmer, Richard E.,Hermeneutics; interpretation theory in Schleiermacher, Dilthey, Heidegger, and Gadamer, Evanston [Ill.] : Northwestern University Press, 1969, pp.72-217</w:t>
            </w:r>
          </w:p>
          <w:p w:rsidR="00E8402E" w:rsidRPr="00E130E4" w:rsidRDefault="00E8402E" w:rsidP="00B07E3C">
            <w:pPr>
              <w:ind w:left="720" w:hangingChars="300" w:hanging="720"/>
              <w:jc w:val="both"/>
              <w:rPr>
                <w:rFonts w:eastAsia="標楷體"/>
                <w:lang w:val="de-DE"/>
              </w:rPr>
            </w:pPr>
            <w:r w:rsidRPr="00E130E4">
              <w:rPr>
                <w:rFonts w:eastAsia="標楷體"/>
                <w:lang w:val="de-DE"/>
              </w:rPr>
              <w:t>Heidegger,</w:t>
            </w:r>
            <w:proofErr w:type="gramStart"/>
            <w:r w:rsidRPr="00E130E4">
              <w:rPr>
                <w:rFonts w:eastAsia="標楷體"/>
                <w:lang w:val="de-DE"/>
              </w:rPr>
              <w:t xml:space="preserve"> M</w:t>
            </w:r>
            <w:r w:rsidRPr="00E130E4">
              <w:rPr>
                <w:rFonts w:eastAsia="標楷體"/>
                <w:lang w:val="de-DE"/>
              </w:rPr>
              <w:t>著</w:t>
            </w:r>
            <w:proofErr w:type="gramEnd"/>
            <w:r w:rsidRPr="00E130E4">
              <w:rPr>
                <w:rFonts w:eastAsia="標楷體"/>
                <w:lang w:val="de-DE"/>
              </w:rPr>
              <w:t xml:space="preserve">, </w:t>
            </w:r>
            <w:r w:rsidRPr="00E130E4">
              <w:rPr>
                <w:rFonts w:eastAsia="標楷體"/>
                <w:lang w:val="de-DE"/>
              </w:rPr>
              <w:t>孫周興</w:t>
            </w:r>
            <w:r w:rsidRPr="00E130E4">
              <w:rPr>
                <w:rFonts w:eastAsia="標楷體"/>
                <w:lang w:val="de-DE"/>
              </w:rPr>
              <w:t xml:space="preserve"> </w:t>
            </w:r>
            <w:r w:rsidRPr="00E130E4">
              <w:rPr>
                <w:rFonts w:eastAsia="標楷體"/>
                <w:lang w:val="de-DE"/>
              </w:rPr>
              <w:t>譯</w:t>
            </w:r>
            <w:r w:rsidRPr="00E130E4">
              <w:rPr>
                <w:rFonts w:eastAsia="標楷體"/>
                <w:lang w:val="de-DE"/>
              </w:rPr>
              <w:t xml:space="preserve">, </w:t>
            </w:r>
            <w:r w:rsidRPr="00E130E4">
              <w:rPr>
                <w:rFonts w:eastAsia="標楷體"/>
                <w:lang w:val="de-DE"/>
              </w:rPr>
              <w:t>林中路</w:t>
            </w:r>
            <w:r w:rsidRPr="00E130E4">
              <w:rPr>
                <w:rFonts w:eastAsia="標楷體"/>
                <w:lang w:val="de-DE"/>
              </w:rPr>
              <w:t xml:space="preserve">, </w:t>
            </w:r>
            <w:proofErr w:type="gramStart"/>
            <w:r w:rsidRPr="00E130E4">
              <w:rPr>
                <w:rFonts w:eastAsia="標楷體"/>
                <w:lang w:val="de-DE"/>
              </w:rPr>
              <w:t>臺</w:t>
            </w:r>
            <w:proofErr w:type="gramEnd"/>
            <w:r w:rsidRPr="00E130E4">
              <w:rPr>
                <w:rFonts w:eastAsia="標楷體"/>
                <w:lang w:val="de-DE"/>
              </w:rPr>
              <w:t>北</w:t>
            </w:r>
            <w:r w:rsidRPr="00E130E4">
              <w:rPr>
                <w:rFonts w:eastAsia="標楷體"/>
                <w:lang w:val="de-DE"/>
              </w:rPr>
              <w:t xml:space="preserve"> : </w:t>
            </w:r>
            <w:r w:rsidRPr="00E130E4">
              <w:rPr>
                <w:rFonts w:eastAsia="標楷體"/>
                <w:lang w:val="de-DE"/>
              </w:rPr>
              <w:t>時報文化</w:t>
            </w:r>
            <w:r w:rsidRPr="00E130E4">
              <w:rPr>
                <w:rFonts w:eastAsia="標楷體"/>
                <w:lang w:val="de-DE"/>
              </w:rPr>
              <w:t>, 1994</w:t>
            </w:r>
            <w:r w:rsidRPr="00E130E4">
              <w:rPr>
                <w:rFonts w:eastAsia="標楷體"/>
                <w:lang w:val="de-DE"/>
              </w:rPr>
              <w:t>。</w:t>
            </w:r>
          </w:p>
          <w:p w:rsidR="00E8402E" w:rsidRPr="00E130E4" w:rsidRDefault="00E8402E" w:rsidP="00B07E3C">
            <w:pPr>
              <w:ind w:left="720" w:hangingChars="300" w:hanging="720"/>
              <w:jc w:val="both"/>
              <w:rPr>
                <w:rFonts w:eastAsia="標楷體"/>
                <w:lang w:val="de-DE"/>
              </w:rPr>
            </w:pPr>
            <w:r w:rsidRPr="00E130E4">
              <w:rPr>
                <w:rFonts w:eastAsia="標楷體"/>
                <w:lang w:val="de-DE"/>
              </w:rPr>
              <w:t>Heidegger,</w:t>
            </w:r>
            <w:proofErr w:type="gramStart"/>
            <w:r w:rsidRPr="00E130E4">
              <w:rPr>
                <w:rFonts w:eastAsia="標楷體"/>
                <w:lang w:val="de-DE"/>
              </w:rPr>
              <w:t xml:space="preserve"> M</w:t>
            </w:r>
            <w:r w:rsidRPr="00E130E4">
              <w:rPr>
                <w:rFonts w:eastAsia="標楷體"/>
                <w:lang w:val="de-DE"/>
              </w:rPr>
              <w:t>著</w:t>
            </w:r>
            <w:proofErr w:type="gramEnd"/>
            <w:r w:rsidRPr="00E130E4">
              <w:rPr>
                <w:rFonts w:eastAsia="標楷體"/>
                <w:lang w:val="de-DE"/>
              </w:rPr>
              <w:t xml:space="preserve">, </w:t>
            </w:r>
            <w:r w:rsidRPr="00E130E4">
              <w:rPr>
                <w:rFonts w:eastAsia="標楷體"/>
                <w:bCs/>
                <w:lang w:val="de-DE"/>
              </w:rPr>
              <w:t>王慶節</w:t>
            </w:r>
            <w:r w:rsidRPr="00E130E4">
              <w:rPr>
                <w:rFonts w:eastAsia="標楷體"/>
                <w:bCs/>
                <w:lang w:val="de-DE"/>
              </w:rPr>
              <w:t>,</w:t>
            </w:r>
            <w:proofErr w:type="gramStart"/>
            <w:r w:rsidRPr="00E130E4">
              <w:rPr>
                <w:rFonts w:eastAsia="標楷體"/>
                <w:bCs/>
                <w:lang w:val="de-DE"/>
              </w:rPr>
              <w:t>陳嘉映</w:t>
            </w:r>
            <w:proofErr w:type="gramEnd"/>
            <w:r w:rsidRPr="00E130E4">
              <w:rPr>
                <w:rFonts w:eastAsia="標楷體"/>
                <w:lang w:val="de-DE"/>
              </w:rPr>
              <w:t xml:space="preserve"> </w:t>
            </w:r>
            <w:r w:rsidRPr="00E130E4">
              <w:rPr>
                <w:rFonts w:eastAsia="標楷體"/>
                <w:lang w:val="de-DE"/>
              </w:rPr>
              <w:t>譯</w:t>
            </w:r>
            <w:r w:rsidRPr="00E130E4">
              <w:rPr>
                <w:rFonts w:eastAsia="標楷體"/>
                <w:lang w:val="de-DE"/>
              </w:rPr>
              <w:t xml:space="preserve">, </w:t>
            </w:r>
            <w:r w:rsidRPr="00E130E4">
              <w:rPr>
                <w:rFonts w:eastAsia="標楷體"/>
                <w:lang w:val="de-DE"/>
              </w:rPr>
              <w:t>存在與時間</w:t>
            </w:r>
            <w:r w:rsidRPr="00E130E4">
              <w:rPr>
                <w:rFonts w:eastAsia="標楷體"/>
                <w:lang w:val="de-DE"/>
              </w:rPr>
              <w:t xml:space="preserve">, </w:t>
            </w:r>
            <w:proofErr w:type="gramStart"/>
            <w:r w:rsidRPr="00E130E4">
              <w:rPr>
                <w:rFonts w:eastAsia="標楷體"/>
                <w:lang w:val="de-DE"/>
              </w:rPr>
              <w:t>臺</w:t>
            </w:r>
            <w:proofErr w:type="gramEnd"/>
            <w:r w:rsidRPr="00E130E4">
              <w:rPr>
                <w:rFonts w:eastAsia="標楷體"/>
                <w:lang w:val="de-DE"/>
              </w:rPr>
              <w:t>北</w:t>
            </w:r>
            <w:r w:rsidRPr="00E130E4">
              <w:rPr>
                <w:rFonts w:eastAsia="標楷體"/>
                <w:lang w:val="de-DE"/>
              </w:rPr>
              <w:t xml:space="preserve">: </w:t>
            </w:r>
            <w:r w:rsidRPr="00E130E4">
              <w:rPr>
                <w:rFonts w:eastAsia="標楷體"/>
                <w:lang w:val="de-DE"/>
              </w:rPr>
              <w:t>桂冠</w:t>
            </w:r>
            <w:r w:rsidRPr="00E130E4">
              <w:rPr>
                <w:rFonts w:eastAsia="標楷體"/>
                <w:lang w:val="de-DE"/>
              </w:rPr>
              <w:t>, 1990</w:t>
            </w:r>
            <w:r w:rsidRPr="00E130E4">
              <w:rPr>
                <w:rFonts w:eastAsia="標楷體"/>
                <w:lang w:val="de-DE"/>
              </w:rPr>
              <w:t>。</w:t>
            </w:r>
          </w:p>
          <w:p w:rsidR="006D297A" w:rsidRPr="00E130E4" w:rsidRDefault="00E8402E" w:rsidP="00B07E3C">
            <w:pPr>
              <w:ind w:left="720" w:hangingChars="300" w:hanging="720"/>
              <w:jc w:val="both"/>
              <w:rPr>
                <w:rFonts w:eastAsia="標楷體"/>
                <w:lang w:val="de-DE"/>
              </w:rPr>
            </w:pPr>
            <w:r w:rsidRPr="00E130E4">
              <w:rPr>
                <w:rFonts w:eastAsia="標楷體"/>
                <w:lang w:val="de-DE"/>
              </w:rPr>
              <w:t xml:space="preserve">H.-G. Gadamer, Wahrheit und Methode. Grundzüge einer philosophischen Hermeneutik, Gesammelte Werke, Bd. 1 (Tübingen: Mohr, 61990).( </w:t>
            </w:r>
            <w:r w:rsidRPr="00E130E4">
              <w:rPr>
                <w:rFonts w:eastAsia="標楷體"/>
                <w:lang w:val="de-DE"/>
              </w:rPr>
              <w:t>加達默爾：《真理與方法</w:t>
            </w:r>
            <w:r w:rsidRPr="00E130E4">
              <w:rPr>
                <w:rFonts w:eastAsia="標楷體"/>
                <w:lang w:val="de-DE"/>
              </w:rPr>
              <w:t xml:space="preserve"> — </w:t>
            </w:r>
            <w:r w:rsidRPr="00E130E4">
              <w:rPr>
                <w:rFonts w:eastAsia="標楷體"/>
                <w:lang w:val="de-DE"/>
              </w:rPr>
              <w:t>哲學詮釋學的基本特徵》，譯者：洪漢鼎，台北市：時報文化，</w:t>
            </w:r>
            <w:r w:rsidRPr="00E130E4">
              <w:rPr>
                <w:rFonts w:eastAsia="標楷體"/>
                <w:lang w:val="de-DE"/>
              </w:rPr>
              <w:t>1993</w:t>
            </w:r>
            <w:r w:rsidRPr="00E130E4">
              <w:rPr>
                <w:rFonts w:eastAsia="標楷體"/>
                <w:lang w:val="de-DE"/>
              </w:rPr>
              <w:t>。</w:t>
            </w:r>
            <w:r w:rsidRPr="00E130E4">
              <w:rPr>
                <w:rFonts w:eastAsia="標楷體"/>
                <w:lang w:val="de-DE"/>
              </w:rPr>
              <w:t>)</w:t>
            </w:r>
          </w:p>
        </w:tc>
      </w:tr>
      <w:tr w:rsidR="00E8402E" w:rsidRPr="00E130E4" w:rsidTr="00B07E3C">
        <w:tc>
          <w:tcPr>
            <w:tcW w:w="1368" w:type="dxa"/>
          </w:tcPr>
          <w:p w:rsidR="00E8402E" w:rsidRPr="00E130E4" w:rsidRDefault="00E8402E" w:rsidP="00B07E3C">
            <w:pPr>
              <w:jc w:val="center"/>
              <w:rPr>
                <w:sz w:val="26"/>
                <w:szCs w:val="26"/>
              </w:rPr>
            </w:pPr>
            <w:r w:rsidRPr="00E130E4">
              <w:rPr>
                <w:sz w:val="26"/>
                <w:szCs w:val="26"/>
              </w:rPr>
              <w:t>第</w:t>
            </w:r>
            <w:r w:rsidRPr="00E130E4">
              <w:rPr>
                <w:sz w:val="26"/>
                <w:szCs w:val="26"/>
              </w:rPr>
              <w:t>9</w:t>
            </w:r>
            <w:proofErr w:type="gramStart"/>
            <w:r w:rsidRPr="00E130E4">
              <w:rPr>
                <w:sz w:val="26"/>
                <w:szCs w:val="26"/>
              </w:rPr>
              <w:t>週</w:t>
            </w:r>
            <w:proofErr w:type="gramEnd"/>
          </w:p>
        </w:tc>
        <w:tc>
          <w:tcPr>
            <w:tcW w:w="8280" w:type="dxa"/>
            <w:gridSpan w:val="8"/>
          </w:tcPr>
          <w:p w:rsidR="00E8402E" w:rsidRPr="00E130E4" w:rsidRDefault="00E8402E" w:rsidP="00B07E3C">
            <w:r w:rsidRPr="00E130E4">
              <w:t>主題：</w:t>
            </w:r>
            <w:r w:rsidRPr="00E130E4">
              <w:rPr>
                <w:rFonts w:eastAsia="標楷體"/>
              </w:rPr>
              <w:t>詮釋學的存有論轉向</w:t>
            </w:r>
            <w:r w:rsidRPr="00E130E4">
              <w:rPr>
                <w:rFonts w:eastAsia="標楷體"/>
              </w:rPr>
              <w:t xml:space="preserve"> Heidegger &amp; Gadamer</w:t>
            </w:r>
            <w:r w:rsidRPr="00E130E4">
              <w:rPr>
                <w:rFonts w:eastAsia="標楷體"/>
              </w:rPr>
              <w:t>（二）</w:t>
            </w:r>
          </w:p>
          <w:p w:rsidR="00E8402E" w:rsidRPr="00E130E4" w:rsidRDefault="00E8402E" w:rsidP="00B07E3C">
            <w:pPr>
              <w:ind w:left="720" w:hangingChars="300" w:hanging="720"/>
              <w:jc w:val="both"/>
              <w:rPr>
                <w:rFonts w:eastAsia="標楷體"/>
                <w:lang w:val="de-DE"/>
              </w:rPr>
            </w:pPr>
            <w:r w:rsidRPr="00E130E4">
              <w:t>教材：</w:t>
            </w:r>
            <w:r w:rsidRPr="00E130E4">
              <w:rPr>
                <w:rFonts w:eastAsia="標楷體"/>
                <w:lang w:val="de-DE"/>
              </w:rPr>
              <w:t xml:space="preserve"> Palmer, Richard E.,Hermeneutics; interpretation theory in Schleiermacher, </w:t>
            </w:r>
            <w:r w:rsidRPr="00E130E4">
              <w:rPr>
                <w:rFonts w:eastAsia="標楷體"/>
                <w:lang w:val="de-DE"/>
              </w:rPr>
              <w:lastRenderedPageBreak/>
              <w:t>Dilthey, Heidegger, and Gadamer, Evanston [Ill.] : Northwestern University Press, 1969, pp.72-217</w:t>
            </w:r>
          </w:p>
          <w:p w:rsidR="00E8402E" w:rsidRPr="00E130E4" w:rsidRDefault="00E8402E" w:rsidP="00B07E3C">
            <w:pPr>
              <w:ind w:left="720" w:hangingChars="300" w:hanging="720"/>
              <w:jc w:val="both"/>
              <w:rPr>
                <w:rFonts w:eastAsia="標楷體"/>
                <w:lang w:val="de-DE"/>
              </w:rPr>
            </w:pPr>
            <w:r w:rsidRPr="00E130E4">
              <w:rPr>
                <w:rFonts w:eastAsia="標楷體"/>
                <w:lang w:val="de-DE"/>
              </w:rPr>
              <w:t>Heidegger,</w:t>
            </w:r>
            <w:proofErr w:type="gramStart"/>
            <w:r w:rsidRPr="00E130E4">
              <w:rPr>
                <w:rFonts w:eastAsia="標楷體"/>
                <w:lang w:val="de-DE"/>
              </w:rPr>
              <w:t xml:space="preserve"> M</w:t>
            </w:r>
            <w:r w:rsidRPr="00E130E4">
              <w:rPr>
                <w:rFonts w:eastAsia="標楷體"/>
                <w:lang w:val="de-DE"/>
              </w:rPr>
              <w:t>著</w:t>
            </w:r>
            <w:proofErr w:type="gramEnd"/>
            <w:r w:rsidRPr="00E130E4">
              <w:rPr>
                <w:rFonts w:eastAsia="標楷體"/>
                <w:lang w:val="de-DE"/>
              </w:rPr>
              <w:t xml:space="preserve">, </w:t>
            </w:r>
            <w:r w:rsidRPr="00E130E4">
              <w:rPr>
                <w:rFonts w:eastAsia="標楷體"/>
                <w:lang w:val="de-DE"/>
              </w:rPr>
              <w:t>孫周興</w:t>
            </w:r>
            <w:r w:rsidRPr="00E130E4">
              <w:rPr>
                <w:rFonts w:eastAsia="標楷體"/>
                <w:lang w:val="de-DE"/>
              </w:rPr>
              <w:t xml:space="preserve"> </w:t>
            </w:r>
            <w:r w:rsidRPr="00E130E4">
              <w:rPr>
                <w:rFonts w:eastAsia="標楷體"/>
                <w:lang w:val="de-DE"/>
              </w:rPr>
              <w:t>譯</w:t>
            </w:r>
            <w:r w:rsidRPr="00E130E4">
              <w:rPr>
                <w:rFonts w:eastAsia="標楷體"/>
                <w:lang w:val="de-DE"/>
              </w:rPr>
              <w:t xml:space="preserve">, </w:t>
            </w:r>
            <w:r w:rsidRPr="00E130E4">
              <w:rPr>
                <w:rFonts w:eastAsia="標楷體"/>
                <w:lang w:val="de-DE"/>
              </w:rPr>
              <w:t>林中路</w:t>
            </w:r>
            <w:r w:rsidRPr="00E130E4">
              <w:rPr>
                <w:rFonts w:eastAsia="標楷體"/>
                <w:lang w:val="de-DE"/>
              </w:rPr>
              <w:t xml:space="preserve">, </w:t>
            </w:r>
            <w:proofErr w:type="gramStart"/>
            <w:r w:rsidRPr="00E130E4">
              <w:rPr>
                <w:rFonts w:eastAsia="標楷體"/>
                <w:lang w:val="de-DE"/>
              </w:rPr>
              <w:t>臺</w:t>
            </w:r>
            <w:proofErr w:type="gramEnd"/>
            <w:r w:rsidRPr="00E130E4">
              <w:rPr>
                <w:rFonts w:eastAsia="標楷體"/>
                <w:lang w:val="de-DE"/>
              </w:rPr>
              <w:t>北</w:t>
            </w:r>
            <w:r w:rsidRPr="00E130E4">
              <w:rPr>
                <w:rFonts w:eastAsia="標楷體"/>
                <w:lang w:val="de-DE"/>
              </w:rPr>
              <w:t xml:space="preserve"> : </w:t>
            </w:r>
            <w:r w:rsidRPr="00E130E4">
              <w:rPr>
                <w:rFonts w:eastAsia="標楷體"/>
                <w:lang w:val="de-DE"/>
              </w:rPr>
              <w:t>時報文化</w:t>
            </w:r>
            <w:r w:rsidRPr="00E130E4">
              <w:rPr>
                <w:rFonts w:eastAsia="標楷體"/>
                <w:lang w:val="de-DE"/>
              </w:rPr>
              <w:t>, 1994</w:t>
            </w:r>
            <w:r w:rsidRPr="00E130E4">
              <w:rPr>
                <w:rFonts w:eastAsia="標楷體"/>
                <w:lang w:val="de-DE"/>
              </w:rPr>
              <w:t>。</w:t>
            </w:r>
          </w:p>
          <w:p w:rsidR="00E8402E" w:rsidRPr="00E130E4" w:rsidRDefault="00E8402E" w:rsidP="00B07E3C">
            <w:pPr>
              <w:ind w:left="720" w:hangingChars="300" w:hanging="720"/>
              <w:jc w:val="both"/>
              <w:rPr>
                <w:rFonts w:eastAsia="標楷體"/>
                <w:lang w:val="de-DE"/>
              </w:rPr>
            </w:pPr>
            <w:r w:rsidRPr="00E130E4">
              <w:rPr>
                <w:rFonts w:eastAsia="標楷體"/>
                <w:lang w:val="de-DE"/>
              </w:rPr>
              <w:t>Heidegger,</w:t>
            </w:r>
            <w:proofErr w:type="gramStart"/>
            <w:r w:rsidRPr="00E130E4">
              <w:rPr>
                <w:rFonts w:eastAsia="標楷體"/>
                <w:lang w:val="de-DE"/>
              </w:rPr>
              <w:t xml:space="preserve"> M</w:t>
            </w:r>
            <w:r w:rsidRPr="00E130E4">
              <w:rPr>
                <w:rFonts w:eastAsia="標楷體"/>
                <w:lang w:val="de-DE"/>
              </w:rPr>
              <w:t>著</w:t>
            </w:r>
            <w:proofErr w:type="gramEnd"/>
            <w:r w:rsidRPr="00E130E4">
              <w:rPr>
                <w:rFonts w:eastAsia="標楷體"/>
                <w:lang w:val="de-DE"/>
              </w:rPr>
              <w:t xml:space="preserve">, </w:t>
            </w:r>
            <w:r w:rsidRPr="00E130E4">
              <w:rPr>
                <w:rFonts w:eastAsia="標楷體"/>
                <w:bCs/>
                <w:lang w:val="de-DE"/>
              </w:rPr>
              <w:t>王慶節</w:t>
            </w:r>
            <w:r w:rsidRPr="00E130E4">
              <w:rPr>
                <w:rFonts w:eastAsia="標楷體"/>
                <w:bCs/>
                <w:lang w:val="de-DE"/>
              </w:rPr>
              <w:t>,</w:t>
            </w:r>
            <w:proofErr w:type="gramStart"/>
            <w:r w:rsidRPr="00E130E4">
              <w:rPr>
                <w:rFonts w:eastAsia="標楷體"/>
                <w:bCs/>
                <w:lang w:val="de-DE"/>
              </w:rPr>
              <w:t>陳嘉映</w:t>
            </w:r>
            <w:proofErr w:type="gramEnd"/>
            <w:r w:rsidRPr="00E130E4">
              <w:rPr>
                <w:rFonts w:eastAsia="標楷體"/>
                <w:lang w:val="de-DE"/>
              </w:rPr>
              <w:t xml:space="preserve"> </w:t>
            </w:r>
            <w:r w:rsidRPr="00E130E4">
              <w:rPr>
                <w:rFonts w:eastAsia="標楷體"/>
                <w:lang w:val="de-DE"/>
              </w:rPr>
              <w:t>譯</w:t>
            </w:r>
            <w:r w:rsidRPr="00E130E4">
              <w:rPr>
                <w:rFonts w:eastAsia="標楷體"/>
                <w:lang w:val="de-DE"/>
              </w:rPr>
              <w:t xml:space="preserve">, </w:t>
            </w:r>
            <w:r w:rsidRPr="00E130E4">
              <w:rPr>
                <w:rFonts w:eastAsia="標楷體"/>
                <w:lang w:val="de-DE"/>
              </w:rPr>
              <w:t>存在與時間</w:t>
            </w:r>
            <w:r w:rsidRPr="00E130E4">
              <w:rPr>
                <w:rFonts w:eastAsia="標楷體"/>
                <w:lang w:val="de-DE"/>
              </w:rPr>
              <w:t xml:space="preserve">, </w:t>
            </w:r>
            <w:proofErr w:type="gramStart"/>
            <w:r w:rsidRPr="00E130E4">
              <w:rPr>
                <w:rFonts w:eastAsia="標楷體"/>
                <w:lang w:val="de-DE"/>
              </w:rPr>
              <w:t>臺</w:t>
            </w:r>
            <w:proofErr w:type="gramEnd"/>
            <w:r w:rsidRPr="00E130E4">
              <w:rPr>
                <w:rFonts w:eastAsia="標楷體"/>
                <w:lang w:val="de-DE"/>
              </w:rPr>
              <w:t>北</w:t>
            </w:r>
            <w:r w:rsidRPr="00E130E4">
              <w:rPr>
                <w:rFonts w:eastAsia="標楷體"/>
                <w:lang w:val="de-DE"/>
              </w:rPr>
              <w:t xml:space="preserve">: </w:t>
            </w:r>
            <w:r w:rsidRPr="00E130E4">
              <w:rPr>
                <w:rFonts w:eastAsia="標楷體"/>
                <w:lang w:val="de-DE"/>
              </w:rPr>
              <w:t>桂冠</w:t>
            </w:r>
            <w:r w:rsidRPr="00E130E4">
              <w:rPr>
                <w:rFonts w:eastAsia="標楷體"/>
                <w:lang w:val="de-DE"/>
              </w:rPr>
              <w:t>, 1990</w:t>
            </w:r>
            <w:r w:rsidRPr="00E130E4">
              <w:rPr>
                <w:rFonts w:eastAsia="標楷體"/>
                <w:lang w:val="de-DE"/>
              </w:rPr>
              <w:t>。</w:t>
            </w:r>
          </w:p>
          <w:p w:rsidR="00E8402E" w:rsidRPr="00E130E4" w:rsidRDefault="00E8402E" w:rsidP="00B07E3C">
            <w:pPr>
              <w:ind w:left="720" w:hangingChars="300" w:hanging="720"/>
              <w:jc w:val="both"/>
              <w:rPr>
                <w:rFonts w:eastAsia="標楷體"/>
                <w:lang w:val="de-DE"/>
              </w:rPr>
            </w:pPr>
            <w:r w:rsidRPr="00E130E4">
              <w:rPr>
                <w:rFonts w:eastAsia="標楷體"/>
                <w:lang w:val="de-DE"/>
              </w:rPr>
              <w:t xml:space="preserve">H.-G. Gadamer, Wahrheit und Methode. Grundzüge einer philosophischen Hermeneutik, Gesammelte Werke, Bd. 1 (Tübingen: Mohr, 61990).( </w:t>
            </w:r>
            <w:r w:rsidRPr="00E130E4">
              <w:rPr>
                <w:rFonts w:eastAsia="標楷體"/>
                <w:lang w:val="de-DE"/>
              </w:rPr>
              <w:t>加達默爾：《真理與方法</w:t>
            </w:r>
            <w:r w:rsidRPr="00E130E4">
              <w:rPr>
                <w:rFonts w:eastAsia="標楷體"/>
                <w:lang w:val="de-DE"/>
              </w:rPr>
              <w:t xml:space="preserve"> — </w:t>
            </w:r>
            <w:r w:rsidRPr="00E130E4">
              <w:rPr>
                <w:rFonts w:eastAsia="標楷體"/>
                <w:lang w:val="de-DE"/>
              </w:rPr>
              <w:t>哲學詮釋學的基本特徵》，譯者：洪漢鼎，台北市：時報文化，</w:t>
            </w:r>
            <w:r w:rsidRPr="00E130E4">
              <w:rPr>
                <w:rFonts w:eastAsia="標楷體"/>
                <w:lang w:val="de-DE"/>
              </w:rPr>
              <w:t>1993</w:t>
            </w:r>
            <w:r w:rsidRPr="00E130E4">
              <w:rPr>
                <w:rFonts w:eastAsia="標楷體"/>
                <w:lang w:val="de-DE"/>
              </w:rPr>
              <w:t>。</w:t>
            </w:r>
            <w:r w:rsidRPr="00E130E4">
              <w:rPr>
                <w:rFonts w:eastAsia="標楷體"/>
                <w:lang w:val="de-DE"/>
              </w:rPr>
              <w:t>)</w:t>
            </w:r>
          </w:p>
        </w:tc>
      </w:tr>
      <w:tr w:rsidR="00E8402E" w:rsidRPr="00E130E4" w:rsidTr="00B07E3C">
        <w:tc>
          <w:tcPr>
            <w:tcW w:w="1368" w:type="dxa"/>
          </w:tcPr>
          <w:p w:rsidR="00E8402E" w:rsidRPr="00E130E4" w:rsidRDefault="00E8402E" w:rsidP="00B07E3C">
            <w:pPr>
              <w:jc w:val="center"/>
              <w:rPr>
                <w:sz w:val="26"/>
                <w:szCs w:val="26"/>
              </w:rPr>
            </w:pPr>
            <w:r w:rsidRPr="00E130E4">
              <w:rPr>
                <w:sz w:val="26"/>
                <w:szCs w:val="26"/>
              </w:rPr>
              <w:lastRenderedPageBreak/>
              <w:t>第</w:t>
            </w:r>
            <w:r w:rsidRPr="00E130E4">
              <w:rPr>
                <w:sz w:val="26"/>
                <w:szCs w:val="26"/>
              </w:rPr>
              <w:t>10</w:t>
            </w:r>
            <w:proofErr w:type="gramStart"/>
            <w:r w:rsidRPr="00E130E4">
              <w:rPr>
                <w:sz w:val="26"/>
                <w:szCs w:val="26"/>
              </w:rPr>
              <w:t>週</w:t>
            </w:r>
            <w:proofErr w:type="gramEnd"/>
          </w:p>
        </w:tc>
        <w:tc>
          <w:tcPr>
            <w:tcW w:w="8280" w:type="dxa"/>
            <w:gridSpan w:val="8"/>
          </w:tcPr>
          <w:p w:rsidR="00BC2780" w:rsidRPr="00E130E4" w:rsidRDefault="00E8402E" w:rsidP="00B07E3C">
            <w:pPr>
              <w:jc w:val="both"/>
              <w:rPr>
                <w:rFonts w:eastAsia="標楷體"/>
              </w:rPr>
            </w:pPr>
            <w:r w:rsidRPr="00E130E4">
              <w:t>主題：</w:t>
            </w:r>
            <w:r w:rsidR="00BC2780" w:rsidRPr="00E130E4">
              <w:rPr>
                <w:rFonts w:eastAsia="標楷體"/>
              </w:rPr>
              <w:t>現象學作為嚴謹的科學</w:t>
            </w:r>
            <w:r w:rsidR="00BC2780" w:rsidRPr="00E130E4">
              <w:rPr>
                <w:rFonts w:eastAsia="標楷體"/>
              </w:rPr>
              <w:t xml:space="preserve"> E. Husserl</w:t>
            </w:r>
          </w:p>
          <w:p w:rsidR="00BC2780" w:rsidRPr="00E130E4" w:rsidRDefault="00BC2780" w:rsidP="00B07E3C">
            <w:pPr>
              <w:jc w:val="both"/>
              <w:rPr>
                <w:rFonts w:eastAsia="標楷體"/>
                <w:lang w:val="de-DE"/>
              </w:rPr>
            </w:pPr>
            <w:r w:rsidRPr="00E130E4">
              <w:rPr>
                <w:rFonts w:eastAsia="標楷體"/>
              </w:rPr>
              <w:t>教材</w:t>
            </w:r>
            <w:r w:rsidRPr="00E130E4">
              <w:rPr>
                <w:rFonts w:eastAsia="標楷體"/>
                <w:lang w:val="de-DE"/>
              </w:rPr>
              <w:t>：</w:t>
            </w:r>
          </w:p>
          <w:p w:rsidR="00BC2780" w:rsidRPr="00E130E4" w:rsidRDefault="00BC2780" w:rsidP="00B07E3C">
            <w:pPr>
              <w:ind w:left="720" w:hangingChars="300" w:hanging="720"/>
              <w:jc w:val="both"/>
              <w:rPr>
                <w:rFonts w:eastAsia="標楷體"/>
                <w:lang w:val="de-DE"/>
              </w:rPr>
            </w:pPr>
            <w:r w:rsidRPr="00E130E4">
              <w:rPr>
                <w:rFonts w:eastAsia="標楷體"/>
                <w:lang w:val="de-DE"/>
              </w:rPr>
              <w:t>Husserl, E., The crisis of European sciences and transcendental phenomenology : an introduction to phenomenological philosophy / Eemund Hysserl ; translated, with an introd., by David Carr, Evanston : Northwestern University Press, 1970,</w:t>
            </w:r>
            <w:r w:rsidRPr="00E130E4">
              <w:t xml:space="preserve"> </w:t>
            </w:r>
            <w:r w:rsidRPr="00E130E4">
              <w:rPr>
                <w:rFonts w:eastAsia="標楷體"/>
                <w:lang w:val="de-DE"/>
              </w:rPr>
              <w:t>Evanston : Northwestern University Press, 1970</w:t>
            </w:r>
          </w:p>
          <w:p w:rsidR="00E8402E" w:rsidRPr="00E130E4" w:rsidRDefault="00BC2780" w:rsidP="00B07E3C">
            <w:pPr>
              <w:jc w:val="both"/>
              <w:rPr>
                <w:rFonts w:eastAsia="標楷體"/>
                <w:lang w:val="de-DE"/>
              </w:rPr>
            </w:pPr>
            <w:proofErr w:type="gramStart"/>
            <w:r w:rsidRPr="00E130E4">
              <w:rPr>
                <w:rFonts w:eastAsia="標楷體"/>
                <w:lang w:val="de-DE"/>
              </w:rPr>
              <w:t>Edo Pivcevic</w:t>
            </w:r>
            <w:r w:rsidRPr="00E130E4">
              <w:rPr>
                <w:rFonts w:eastAsia="標楷體"/>
                <w:lang w:val="de-DE"/>
              </w:rPr>
              <w:t>著</w:t>
            </w:r>
            <w:proofErr w:type="gramEnd"/>
            <w:r w:rsidRPr="00E130E4">
              <w:rPr>
                <w:rFonts w:eastAsia="標楷體"/>
                <w:lang w:val="de-DE"/>
              </w:rPr>
              <w:t xml:space="preserve">, </w:t>
            </w:r>
            <w:r w:rsidRPr="00E130E4">
              <w:rPr>
                <w:rFonts w:eastAsia="標楷體"/>
                <w:lang w:val="de-DE"/>
              </w:rPr>
              <w:t>廖仁義</w:t>
            </w:r>
            <w:r w:rsidRPr="00E130E4">
              <w:rPr>
                <w:rFonts w:eastAsia="標楷體"/>
                <w:lang w:val="de-DE"/>
              </w:rPr>
              <w:t xml:space="preserve"> </w:t>
            </w:r>
            <w:r w:rsidRPr="00E130E4">
              <w:rPr>
                <w:rFonts w:eastAsia="標楷體"/>
                <w:lang w:val="de-DE"/>
              </w:rPr>
              <w:t>譯</w:t>
            </w:r>
            <w:r w:rsidRPr="00E130E4">
              <w:rPr>
                <w:rFonts w:eastAsia="標楷體"/>
                <w:lang w:val="de-DE"/>
              </w:rPr>
              <w:t xml:space="preserve">, </w:t>
            </w:r>
            <w:proofErr w:type="gramStart"/>
            <w:r w:rsidRPr="00E130E4">
              <w:rPr>
                <w:rFonts w:eastAsia="標楷體"/>
                <w:lang w:val="de-DE"/>
              </w:rPr>
              <w:t>胡塞爾</w:t>
            </w:r>
            <w:proofErr w:type="gramEnd"/>
            <w:r w:rsidRPr="00E130E4">
              <w:rPr>
                <w:rFonts w:eastAsia="標楷體"/>
                <w:lang w:val="de-DE"/>
              </w:rPr>
              <w:t>與現象學</w:t>
            </w:r>
            <w:r w:rsidRPr="00E130E4">
              <w:rPr>
                <w:rFonts w:eastAsia="標楷體"/>
                <w:lang w:val="de-DE"/>
              </w:rPr>
              <w:t xml:space="preserve">, 1986, </w:t>
            </w:r>
            <w:r w:rsidRPr="00E130E4">
              <w:rPr>
                <w:rFonts w:eastAsia="標楷體"/>
                <w:lang w:val="de-DE"/>
              </w:rPr>
              <w:t>台北</w:t>
            </w:r>
            <w:r w:rsidRPr="00E130E4">
              <w:rPr>
                <w:rFonts w:eastAsia="標楷體"/>
                <w:lang w:val="de-DE"/>
              </w:rPr>
              <w:t xml:space="preserve">: </w:t>
            </w:r>
            <w:r w:rsidRPr="00E130E4">
              <w:rPr>
                <w:rFonts w:eastAsia="標楷體"/>
                <w:lang w:val="de-DE"/>
              </w:rPr>
              <w:t>桂冠。</w:t>
            </w:r>
          </w:p>
        </w:tc>
      </w:tr>
      <w:tr w:rsidR="00E8402E" w:rsidRPr="00E130E4" w:rsidTr="00B07E3C">
        <w:tc>
          <w:tcPr>
            <w:tcW w:w="1368" w:type="dxa"/>
          </w:tcPr>
          <w:p w:rsidR="00E8402E" w:rsidRPr="00E130E4" w:rsidRDefault="00E8402E" w:rsidP="00B07E3C">
            <w:pPr>
              <w:jc w:val="center"/>
              <w:rPr>
                <w:sz w:val="26"/>
                <w:szCs w:val="26"/>
              </w:rPr>
            </w:pPr>
            <w:r w:rsidRPr="00E130E4">
              <w:rPr>
                <w:sz w:val="26"/>
                <w:szCs w:val="26"/>
              </w:rPr>
              <w:t>第</w:t>
            </w:r>
            <w:r w:rsidRPr="00E130E4">
              <w:rPr>
                <w:sz w:val="26"/>
                <w:szCs w:val="26"/>
              </w:rPr>
              <w:t>11</w:t>
            </w:r>
            <w:proofErr w:type="gramStart"/>
            <w:r w:rsidRPr="00E130E4">
              <w:rPr>
                <w:sz w:val="26"/>
                <w:szCs w:val="26"/>
              </w:rPr>
              <w:t>週</w:t>
            </w:r>
            <w:proofErr w:type="gramEnd"/>
          </w:p>
        </w:tc>
        <w:tc>
          <w:tcPr>
            <w:tcW w:w="8280" w:type="dxa"/>
            <w:gridSpan w:val="8"/>
          </w:tcPr>
          <w:p w:rsidR="00556A20" w:rsidRPr="00E130E4" w:rsidRDefault="00E8402E" w:rsidP="00B07E3C">
            <w:pPr>
              <w:jc w:val="both"/>
              <w:rPr>
                <w:rFonts w:eastAsia="標楷體"/>
                <w:lang w:val="de-DE"/>
              </w:rPr>
            </w:pPr>
            <w:r w:rsidRPr="00E130E4">
              <w:t>主題：</w:t>
            </w:r>
            <w:r w:rsidR="00556A20" w:rsidRPr="00E130E4">
              <w:rPr>
                <w:rFonts w:eastAsia="標楷體"/>
                <w:lang w:val="de-DE"/>
              </w:rPr>
              <w:t>社會實體之現象學研究</w:t>
            </w:r>
            <w:r w:rsidR="00556A20" w:rsidRPr="00E130E4">
              <w:rPr>
                <w:rFonts w:eastAsia="標楷體"/>
                <w:lang w:val="de-DE"/>
              </w:rPr>
              <w:t xml:space="preserve"> A. Schütz</w:t>
            </w:r>
          </w:p>
          <w:p w:rsidR="00556A20" w:rsidRPr="00E130E4" w:rsidRDefault="00556A20" w:rsidP="00B07E3C">
            <w:pPr>
              <w:jc w:val="both"/>
              <w:rPr>
                <w:rFonts w:eastAsia="標楷體"/>
                <w:lang w:val="de-DE"/>
              </w:rPr>
            </w:pPr>
            <w:r w:rsidRPr="00E130E4">
              <w:rPr>
                <w:rFonts w:eastAsia="標楷體"/>
              </w:rPr>
              <w:t>教材</w:t>
            </w:r>
            <w:r w:rsidRPr="00E130E4">
              <w:rPr>
                <w:rFonts w:eastAsia="標楷體"/>
                <w:lang w:val="de-DE"/>
              </w:rPr>
              <w:t>：</w:t>
            </w:r>
          </w:p>
          <w:p w:rsidR="00E8402E" w:rsidRPr="00E130E4" w:rsidRDefault="00556A20" w:rsidP="00B07E3C">
            <w:pPr>
              <w:ind w:left="720" w:hangingChars="300" w:hanging="720"/>
              <w:jc w:val="both"/>
              <w:rPr>
                <w:rFonts w:eastAsia="標楷體"/>
              </w:rPr>
            </w:pPr>
            <w:r w:rsidRPr="00E130E4">
              <w:rPr>
                <w:rFonts w:eastAsia="標楷體"/>
              </w:rPr>
              <w:t>Schutz, A., The phenomenology of the social world; translated [from the German] by George Walsh and Frederick Lehnert,</w:t>
            </w:r>
            <w:r w:rsidRPr="00E130E4">
              <w:t xml:space="preserve"> </w:t>
            </w:r>
            <w:smartTag w:uri="urn:schemas-microsoft-com:office:smarttags" w:element="City">
              <w:smartTag w:uri="urn:schemas-microsoft-com:office:smarttags" w:element="place">
                <w:r w:rsidRPr="00E130E4">
                  <w:rPr>
                    <w:rFonts w:eastAsia="標楷體"/>
                  </w:rPr>
                  <w:t>London</w:t>
                </w:r>
              </w:smartTag>
            </w:smartTag>
            <w:r w:rsidRPr="00E130E4">
              <w:rPr>
                <w:rFonts w:eastAsia="標楷體"/>
              </w:rPr>
              <w:t>, Heinemann Educational, 1972</w:t>
            </w:r>
          </w:p>
        </w:tc>
      </w:tr>
      <w:tr w:rsidR="00E8402E" w:rsidRPr="00E130E4" w:rsidTr="00B07E3C">
        <w:tc>
          <w:tcPr>
            <w:tcW w:w="1368" w:type="dxa"/>
          </w:tcPr>
          <w:p w:rsidR="00E8402E" w:rsidRPr="00E130E4" w:rsidRDefault="00E8402E" w:rsidP="00B07E3C">
            <w:pPr>
              <w:jc w:val="center"/>
              <w:rPr>
                <w:sz w:val="26"/>
                <w:szCs w:val="26"/>
              </w:rPr>
            </w:pPr>
            <w:r w:rsidRPr="00E130E4">
              <w:rPr>
                <w:sz w:val="26"/>
                <w:szCs w:val="26"/>
              </w:rPr>
              <w:t>第</w:t>
            </w:r>
            <w:r w:rsidRPr="00E130E4">
              <w:rPr>
                <w:sz w:val="26"/>
                <w:szCs w:val="26"/>
              </w:rPr>
              <w:t>12</w:t>
            </w:r>
            <w:proofErr w:type="gramStart"/>
            <w:r w:rsidRPr="00E130E4">
              <w:rPr>
                <w:sz w:val="26"/>
                <w:szCs w:val="26"/>
              </w:rPr>
              <w:t>週</w:t>
            </w:r>
            <w:proofErr w:type="gramEnd"/>
          </w:p>
        </w:tc>
        <w:tc>
          <w:tcPr>
            <w:tcW w:w="8280" w:type="dxa"/>
            <w:gridSpan w:val="8"/>
          </w:tcPr>
          <w:p w:rsidR="00556A20" w:rsidRPr="00E130E4" w:rsidRDefault="00E8402E" w:rsidP="00B07E3C">
            <w:pPr>
              <w:jc w:val="both"/>
              <w:rPr>
                <w:rFonts w:eastAsia="標楷體"/>
              </w:rPr>
            </w:pPr>
            <w:r w:rsidRPr="00E130E4">
              <w:t>主題：</w:t>
            </w:r>
            <w:r w:rsidR="00556A20" w:rsidRPr="00E130E4">
              <w:rPr>
                <w:rFonts w:eastAsia="標楷體"/>
              </w:rPr>
              <w:t>辯證法（一）：</w:t>
            </w:r>
            <w:r w:rsidR="00556A20" w:rsidRPr="00E130E4">
              <w:rPr>
                <w:rFonts w:eastAsia="標楷體"/>
              </w:rPr>
              <w:t>Hegel</w:t>
            </w:r>
            <w:r w:rsidR="00556A20" w:rsidRPr="00E130E4">
              <w:rPr>
                <w:rFonts w:eastAsia="標楷體"/>
              </w:rPr>
              <w:t>的辯證法</w:t>
            </w:r>
          </w:p>
          <w:p w:rsidR="00556A20" w:rsidRPr="00E130E4" w:rsidRDefault="00556A20" w:rsidP="00B07E3C">
            <w:pPr>
              <w:jc w:val="both"/>
              <w:rPr>
                <w:rFonts w:eastAsia="標楷體"/>
              </w:rPr>
            </w:pPr>
            <w:r w:rsidRPr="00E130E4">
              <w:rPr>
                <w:rFonts w:eastAsia="標楷體"/>
              </w:rPr>
              <w:t>教材：</w:t>
            </w:r>
          </w:p>
          <w:p w:rsidR="00556A20" w:rsidRPr="00E130E4" w:rsidRDefault="00556A20" w:rsidP="00B07E3C">
            <w:pPr>
              <w:jc w:val="both"/>
              <w:rPr>
                <w:rFonts w:eastAsia="標楷體"/>
              </w:rPr>
            </w:pPr>
            <w:proofErr w:type="gramStart"/>
            <w:r w:rsidRPr="00E130E4">
              <w:rPr>
                <w:rFonts w:eastAsia="標楷體"/>
              </w:rPr>
              <w:t>黑格爾著</w:t>
            </w:r>
            <w:proofErr w:type="gramEnd"/>
            <w:r w:rsidRPr="00E130E4">
              <w:rPr>
                <w:rFonts w:eastAsia="標楷體"/>
              </w:rPr>
              <w:t>，賀麟譯，《小邏輯》，台北：台灣商務，</w:t>
            </w:r>
            <w:r w:rsidRPr="00E130E4">
              <w:rPr>
                <w:rFonts w:eastAsia="標楷體"/>
              </w:rPr>
              <w:t>1998</w:t>
            </w:r>
            <w:r w:rsidRPr="00E130E4">
              <w:rPr>
                <w:rFonts w:eastAsia="標楷體"/>
              </w:rPr>
              <w:t>。</w:t>
            </w:r>
          </w:p>
          <w:p w:rsidR="00556A20" w:rsidRPr="00E130E4" w:rsidRDefault="00556A20" w:rsidP="00B07E3C">
            <w:pPr>
              <w:jc w:val="both"/>
              <w:rPr>
                <w:rFonts w:eastAsia="標楷體"/>
              </w:rPr>
            </w:pPr>
            <w:proofErr w:type="gramStart"/>
            <w:r w:rsidRPr="00E130E4">
              <w:rPr>
                <w:rFonts w:eastAsia="標楷體"/>
              </w:rPr>
              <w:t>黑格爾著</w:t>
            </w:r>
            <w:proofErr w:type="gramEnd"/>
            <w:r w:rsidRPr="00E130E4">
              <w:rPr>
                <w:rFonts w:eastAsia="標楷體"/>
              </w:rPr>
              <w:t>，賀自昭</w:t>
            </w:r>
            <w:r w:rsidRPr="00E130E4">
              <w:rPr>
                <w:rFonts w:eastAsia="標楷體"/>
              </w:rPr>
              <w:t>.</w:t>
            </w:r>
            <w:r w:rsidRPr="00E130E4">
              <w:rPr>
                <w:rFonts w:eastAsia="標楷體"/>
              </w:rPr>
              <w:t>王玫興譯，《精神現象學》，台北：里仁，</w:t>
            </w:r>
            <w:r w:rsidRPr="00E130E4">
              <w:rPr>
                <w:rFonts w:eastAsia="標楷體"/>
              </w:rPr>
              <w:t>1984</w:t>
            </w:r>
            <w:r w:rsidRPr="00E130E4">
              <w:rPr>
                <w:rFonts w:eastAsia="標楷體"/>
              </w:rPr>
              <w:t>。</w:t>
            </w:r>
          </w:p>
          <w:p w:rsidR="00E8402E" w:rsidRPr="00E130E4" w:rsidRDefault="00556A20" w:rsidP="00B07E3C">
            <w:pPr>
              <w:ind w:left="720" w:hangingChars="300" w:hanging="720"/>
              <w:jc w:val="both"/>
              <w:rPr>
                <w:rFonts w:eastAsia="標楷體"/>
              </w:rPr>
            </w:pPr>
            <w:r w:rsidRPr="00E130E4">
              <w:rPr>
                <w:rFonts w:eastAsia="標楷體"/>
              </w:rPr>
              <w:t>洪</w:t>
            </w:r>
            <w:proofErr w:type="gramStart"/>
            <w:r w:rsidRPr="00E130E4">
              <w:rPr>
                <w:rFonts w:eastAsia="標楷體"/>
              </w:rPr>
              <w:t>鎌德著</w:t>
            </w:r>
            <w:proofErr w:type="gramEnd"/>
            <w:r w:rsidRPr="00E130E4">
              <w:rPr>
                <w:rFonts w:eastAsia="標楷體"/>
              </w:rPr>
              <w:t>，</w:t>
            </w:r>
            <w:proofErr w:type="gramStart"/>
            <w:r w:rsidRPr="00E130E4">
              <w:rPr>
                <w:rFonts w:eastAsia="標楷體"/>
              </w:rPr>
              <w:t>《</w:t>
            </w:r>
            <w:proofErr w:type="gramEnd"/>
            <w:r w:rsidRPr="00E130E4">
              <w:rPr>
                <w:rFonts w:eastAsia="標楷體"/>
              </w:rPr>
              <w:t>從唯心到唯物</w:t>
            </w:r>
            <w:r w:rsidRPr="00E130E4">
              <w:rPr>
                <w:rFonts w:eastAsia="標楷體"/>
              </w:rPr>
              <w:t xml:space="preserve"> : </w:t>
            </w:r>
            <w:r w:rsidRPr="00E130E4">
              <w:rPr>
                <w:rFonts w:eastAsia="標楷體"/>
              </w:rPr>
              <w:t>黑格爾哲學對馬克思主義的衝擊</w:t>
            </w:r>
            <w:proofErr w:type="gramStart"/>
            <w:r w:rsidRPr="00E130E4">
              <w:rPr>
                <w:rFonts w:eastAsia="標楷體"/>
              </w:rPr>
              <w:t>》</w:t>
            </w:r>
            <w:proofErr w:type="gramEnd"/>
            <w:r w:rsidRPr="00E130E4">
              <w:rPr>
                <w:rFonts w:eastAsia="標楷體"/>
              </w:rPr>
              <w:t>，台北：人本自然，</w:t>
            </w:r>
            <w:r w:rsidRPr="00E130E4">
              <w:rPr>
                <w:rFonts w:eastAsia="標楷體"/>
              </w:rPr>
              <w:t>2007</w:t>
            </w:r>
            <w:r w:rsidRPr="00E130E4">
              <w:rPr>
                <w:rFonts w:eastAsia="標楷體"/>
              </w:rPr>
              <w:t>。</w:t>
            </w:r>
          </w:p>
        </w:tc>
      </w:tr>
      <w:tr w:rsidR="00E8402E" w:rsidRPr="00E130E4" w:rsidTr="00B07E3C">
        <w:tc>
          <w:tcPr>
            <w:tcW w:w="1368" w:type="dxa"/>
          </w:tcPr>
          <w:p w:rsidR="00E8402E" w:rsidRPr="00E130E4" w:rsidRDefault="00E8402E" w:rsidP="00B07E3C">
            <w:pPr>
              <w:jc w:val="center"/>
              <w:rPr>
                <w:sz w:val="26"/>
                <w:szCs w:val="26"/>
              </w:rPr>
            </w:pPr>
            <w:r w:rsidRPr="00E130E4">
              <w:rPr>
                <w:sz w:val="26"/>
                <w:szCs w:val="26"/>
              </w:rPr>
              <w:t>第</w:t>
            </w:r>
            <w:r w:rsidRPr="00E130E4">
              <w:rPr>
                <w:sz w:val="26"/>
                <w:szCs w:val="26"/>
              </w:rPr>
              <w:t>13</w:t>
            </w:r>
            <w:proofErr w:type="gramStart"/>
            <w:r w:rsidRPr="00E130E4">
              <w:rPr>
                <w:sz w:val="26"/>
                <w:szCs w:val="26"/>
              </w:rPr>
              <w:t>週</w:t>
            </w:r>
            <w:proofErr w:type="gramEnd"/>
          </w:p>
        </w:tc>
        <w:tc>
          <w:tcPr>
            <w:tcW w:w="8280" w:type="dxa"/>
            <w:gridSpan w:val="8"/>
          </w:tcPr>
          <w:p w:rsidR="00556A20" w:rsidRPr="00E130E4" w:rsidRDefault="00E8402E" w:rsidP="00B07E3C">
            <w:pPr>
              <w:jc w:val="both"/>
              <w:rPr>
                <w:rFonts w:eastAsia="標楷體"/>
              </w:rPr>
            </w:pPr>
            <w:r w:rsidRPr="00E130E4">
              <w:t>主題：</w:t>
            </w:r>
            <w:r w:rsidR="00556A20" w:rsidRPr="00E130E4">
              <w:rPr>
                <w:rFonts w:eastAsia="標楷體"/>
              </w:rPr>
              <w:t>辯證法（二）：</w:t>
            </w:r>
            <w:r w:rsidR="00556A20" w:rsidRPr="00E130E4">
              <w:rPr>
                <w:rFonts w:eastAsia="標楷體"/>
              </w:rPr>
              <w:t>Marx</w:t>
            </w:r>
            <w:r w:rsidR="00556A20" w:rsidRPr="00E130E4">
              <w:rPr>
                <w:rFonts w:eastAsia="標楷體"/>
              </w:rPr>
              <w:t>的歷史唯物辯證</w:t>
            </w:r>
          </w:p>
          <w:p w:rsidR="00556A20" w:rsidRPr="00E130E4" w:rsidRDefault="00556A20" w:rsidP="00B07E3C">
            <w:pPr>
              <w:jc w:val="both"/>
              <w:rPr>
                <w:rFonts w:eastAsia="標楷體"/>
              </w:rPr>
            </w:pPr>
            <w:r w:rsidRPr="00E130E4">
              <w:rPr>
                <w:rFonts w:eastAsia="標楷體"/>
              </w:rPr>
              <w:t>教材：</w:t>
            </w:r>
          </w:p>
          <w:p w:rsidR="00556A20" w:rsidRPr="00E130E4" w:rsidRDefault="00556A20" w:rsidP="00B07E3C">
            <w:pPr>
              <w:ind w:left="720" w:hangingChars="300" w:hanging="720"/>
              <w:jc w:val="both"/>
              <w:rPr>
                <w:rFonts w:eastAsia="標楷體"/>
              </w:rPr>
            </w:pPr>
            <w:r w:rsidRPr="00E130E4">
              <w:rPr>
                <w:rFonts w:eastAsia="標楷體"/>
              </w:rPr>
              <w:t xml:space="preserve">Marx K., translated by Martin Milligan, Economic and philosophic manuscripts of 1844, </w:t>
            </w:r>
            <w:smartTag w:uri="urn:schemas-microsoft-com:office:smarttags" w:element="City">
              <w:smartTag w:uri="urn:schemas-microsoft-com:office:smarttags" w:element="place">
                <w:r w:rsidRPr="00E130E4">
                  <w:rPr>
                    <w:rFonts w:eastAsia="標楷體"/>
                  </w:rPr>
                  <w:t>Buffalo</w:t>
                </w:r>
              </w:smartTag>
            </w:smartTag>
            <w:r w:rsidRPr="00E130E4">
              <w:rPr>
                <w:rFonts w:eastAsia="標楷體"/>
              </w:rPr>
              <w:t>, N. Y. : Prometheus Books, 1987</w:t>
            </w:r>
          </w:p>
          <w:p w:rsidR="00556A20" w:rsidRPr="00E130E4" w:rsidRDefault="00556A20" w:rsidP="00B07E3C">
            <w:pPr>
              <w:ind w:left="720" w:hangingChars="300" w:hanging="720"/>
              <w:jc w:val="both"/>
              <w:rPr>
                <w:rFonts w:eastAsia="標楷體"/>
              </w:rPr>
            </w:pPr>
            <w:r w:rsidRPr="00E130E4">
              <w:rPr>
                <w:rFonts w:eastAsia="標楷體"/>
              </w:rPr>
              <w:t>洪</w:t>
            </w:r>
            <w:proofErr w:type="gramStart"/>
            <w:r w:rsidRPr="00E130E4">
              <w:rPr>
                <w:rFonts w:eastAsia="標楷體"/>
              </w:rPr>
              <w:t>鎌德著</w:t>
            </w:r>
            <w:proofErr w:type="gramEnd"/>
            <w:r w:rsidRPr="00E130E4">
              <w:rPr>
                <w:rFonts w:eastAsia="標楷體"/>
              </w:rPr>
              <w:t>，</w:t>
            </w:r>
            <w:proofErr w:type="gramStart"/>
            <w:r w:rsidRPr="00E130E4">
              <w:rPr>
                <w:rFonts w:eastAsia="標楷體"/>
              </w:rPr>
              <w:t>《</w:t>
            </w:r>
            <w:proofErr w:type="gramEnd"/>
            <w:r w:rsidRPr="00E130E4">
              <w:rPr>
                <w:rFonts w:eastAsia="標楷體"/>
              </w:rPr>
              <w:t>從唯心到唯物</w:t>
            </w:r>
            <w:r w:rsidRPr="00E130E4">
              <w:rPr>
                <w:rFonts w:eastAsia="標楷體"/>
              </w:rPr>
              <w:t xml:space="preserve"> : </w:t>
            </w:r>
            <w:r w:rsidRPr="00E130E4">
              <w:rPr>
                <w:rFonts w:eastAsia="標楷體"/>
              </w:rPr>
              <w:t>黑格爾哲學對馬克思主義的衝擊</w:t>
            </w:r>
            <w:proofErr w:type="gramStart"/>
            <w:r w:rsidRPr="00E130E4">
              <w:rPr>
                <w:rFonts w:eastAsia="標楷體"/>
              </w:rPr>
              <w:t>》</w:t>
            </w:r>
            <w:proofErr w:type="gramEnd"/>
            <w:r w:rsidRPr="00E130E4">
              <w:rPr>
                <w:rFonts w:eastAsia="標楷體"/>
              </w:rPr>
              <w:t>，台北：人本自然，</w:t>
            </w:r>
            <w:r w:rsidRPr="00E130E4">
              <w:rPr>
                <w:rFonts w:eastAsia="標楷體"/>
              </w:rPr>
              <w:t>2007</w:t>
            </w:r>
            <w:r w:rsidRPr="00E130E4">
              <w:rPr>
                <w:rFonts w:eastAsia="標楷體"/>
              </w:rPr>
              <w:t>。</w:t>
            </w:r>
          </w:p>
          <w:p w:rsidR="00556A20" w:rsidRPr="00E130E4" w:rsidRDefault="00556A20" w:rsidP="00B07E3C">
            <w:pPr>
              <w:jc w:val="both"/>
              <w:rPr>
                <w:rFonts w:eastAsia="標楷體"/>
              </w:rPr>
            </w:pPr>
            <w:r w:rsidRPr="00E130E4">
              <w:rPr>
                <w:rFonts w:eastAsia="標楷體"/>
              </w:rPr>
              <w:t>黃瑞祺</w:t>
            </w:r>
            <w:r w:rsidRPr="00E130E4">
              <w:rPr>
                <w:rFonts w:eastAsia="標楷體"/>
              </w:rPr>
              <w:t xml:space="preserve"> (</w:t>
            </w:r>
            <w:r w:rsidRPr="00E130E4">
              <w:rPr>
                <w:rFonts w:eastAsia="標楷體"/>
              </w:rPr>
              <w:t>編著</w:t>
            </w:r>
            <w:r w:rsidRPr="00E130E4">
              <w:rPr>
                <w:rFonts w:eastAsia="標楷體"/>
              </w:rPr>
              <w:t>)</w:t>
            </w:r>
            <w:r w:rsidRPr="00E130E4">
              <w:rPr>
                <w:rFonts w:eastAsia="標楷體"/>
              </w:rPr>
              <w:t>，《馬克思論方法》。台北：巨流，</w:t>
            </w:r>
            <w:r w:rsidRPr="00E130E4">
              <w:rPr>
                <w:rFonts w:eastAsia="標楷體"/>
              </w:rPr>
              <w:t>1994</w:t>
            </w:r>
            <w:r w:rsidRPr="00E130E4">
              <w:rPr>
                <w:rFonts w:eastAsia="標楷體"/>
              </w:rPr>
              <w:t>。</w:t>
            </w:r>
          </w:p>
          <w:p w:rsidR="00E8402E" w:rsidRPr="00E130E4" w:rsidRDefault="00E8402E" w:rsidP="00B07E3C"/>
        </w:tc>
      </w:tr>
      <w:tr w:rsidR="00E8402E" w:rsidRPr="00E130E4" w:rsidTr="00B07E3C">
        <w:tc>
          <w:tcPr>
            <w:tcW w:w="1368" w:type="dxa"/>
          </w:tcPr>
          <w:p w:rsidR="00E8402E" w:rsidRPr="00E130E4" w:rsidRDefault="00E8402E" w:rsidP="00B07E3C">
            <w:pPr>
              <w:jc w:val="center"/>
              <w:rPr>
                <w:sz w:val="26"/>
                <w:szCs w:val="26"/>
              </w:rPr>
            </w:pPr>
            <w:r w:rsidRPr="00E130E4">
              <w:rPr>
                <w:sz w:val="26"/>
                <w:szCs w:val="26"/>
              </w:rPr>
              <w:t>第</w:t>
            </w:r>
            <w:r w:rsidRPr="00E130E4">
              <w:rPr>
                <w:sz w:val="26"/>
                <w:szCs w:val="26"/>
              </w:rPr>
              <w:t>14</w:t>
            </w:r>
            <w:proofErr w:type="gramStart"/>
            <w:r w:rsidRPr="00E130E4">
              <w:rPr>
                <w:sz w:val="26"/>
                <w:szCs w:val="26"/>
              </w:rPr>
              <w:t>週</w:t>
            </w:r>
            <w:proofErr w:type="gramEnd"/>
          </w:p>
        </w:tc>
        <w:tc>
          <w:tcPr>
            <w:tcW w:w="8280" w:type="dxa"/>
            <w:gridSpan w:val="8"/>
          </w:tcPr>
          <w:p w:rsidR="00FF4D44" w:rsidRPr="00E130E4" w:rsidRDefault="00E8402E" w:rsidP="00B07E3C">
            <w:pPr>
              <w:jc w:val="both"/>
              <w:rPr>
                <w:rFonts w:eastAsia="標楷體"/>
              </w:rPr>
            </w:pPr>
            <w:r w:rsidRPr="00E130E4">
              <w:t>主題：</w:t>
            </w:r>
            <w:r w:rsidR="00FF4D44" w:rsidRPr="00E130E4">
              <w:rPr>
                <w:rFonts w:eastAsia="標楷體"/>
              </w:rPr>
              <w:t>社會學與經驗的社會研究</w:t>
            </w:r>
            <w:r w:rsidR="00FF4D44" w:rsidRPr="00E130E4">
              <w:rPr>
                <w:rFonts w:eastAsia="標楷體"/>
              </w:rPr>
              <w:t>(</w:t>
            </w:r>
            <w:r w:rsidR="00FF4D44" w:rsidRPr="00E130E4">
              <w:rPr>
                <w:rFonts w:eastAsia="標楷體"/>
              </w:rPr>
              <w:t>法蘭克福學派與否定的辯證法</w:t>
            </w:r>
            <w:r w:rsidR="00FF4D44" w:rsidRPr="00E130E4">
              <w:rPr>
                <w:rFonts w:eastAsia="標楷體"/>
              </w:rPr>
              <w:t>)</w:t>
            </w:r>
          </w:p>
          <w:p w:rsidR="00FF4D44" w:rsidRPr="00E130E4" w:rsidRDefault="00FF4D44" w:rsidP="00B07E3C">
            <w:pPr>
              <w:jc w:val="both"/>
              <w:rPr>
                <w:rFonts w:eastAsia="標楷體"/>
              </w:rPr>
            </w:pPr>
            <w:r w:rsidRPr="00E130E4">
              <w:rPr>
                <w:rFonts w:eastAsia="標楷體"/>
              </w:rPr>
              <w:t>教材：</w:t>
            </w:r>
          </w:p>
          <w:p w:rsidR="00FF4D44" w:rsidRPr="00E130E4" w:rsidRDefault="00FF4D44" w:rsidP="00B07E3C">
            <w:pPr>
              <w:autoSpaceDE w:val="0"/>
              <w:autoSpaceDN w:val="0"/>
              <w:adjustRightInd w:val="0"/>
              <w:ind w:left="720" w:hangingChars="300" w:hanging="720"/>
              <w:rPr>
                <w:rFonts w:eastAsia="標楷體"/>
              </w:rPr>
            </w:pPr>
            <w:r w:rsidRPr="00E130E4">
              <w:rPr>
                <w:rFonts w:eastAsia="標楷體"/>
              </w:rPr>
              <w:t>Adorno, T.W., “Sociology and Empirical Research”</w:t>
            </w:r>
            <w:proofErr w:type="gramStart"/>
            <w:r w:rsidRPr="00E130E4">
              <w:rPr>
                <w:rFonts w:eastAsia="標楷體"/>
              </w:rPr>
              <w:t>,in:Adorno</w:t>
            </w:r>
            <w:proofErr w:type="gramEnd"/>
            <w:r w:rsidRPr="00E130E4">
              <w:rPr>
                <w:rFonts w:eastAsia="標楷體"/>
              </w:rPr>
              <w:t xml:space="preserve">, T.W., et.al.(eds.),The Positivist Dispute in German Sociology, </w:t>
            </w:r>
            <w:smartTag w:uri="urn:schemas-microsoft-com:office:smarttags" w:element="place">
              <w:smartTag w:uri="urn:schemas-microsoft-com:office:smarttags" w:element="City">
                <w:r w:rsidRPr="00E130E4">
                  <w:rPr>
                    <w:rFonts w:eastAsia="標楷體"/>
                  </w:rPr>
                  <w:t>London</w:t>
                </w:r>
              </w:smartTag>
            </w:smartTag>
            <w:r w:rsidRPr="00E130E4">
              <w:rPr>
                <w:rFonts w:eastAsia="標楷體"/>
              </w:rPr>
              <w:t>:Heinemann,1976, pp.,68-86.</w:t>
            </w:r>
          </w:p>
          <w:p w:rsidR="00FF4D44" w:rsidRPr="00E130E4" w:rsidRDefault="00FF4D44" w:rsidP="00B07E3C">
            <w:pPr>
              <w:ind w:left="720" w:hangingChars="300" w:hanging="720"/>
              <w:jc w:val="both"/>
              <w:rPr>
                <w:rFonts w:eastAsia="標楷體"/>
              </w:rPr>
            </w:pPr>
            <w:r w:rsidRPr="00E130E4">
              <w:rPr>
                <w:rFonts w:eastAsia="標楷體"/>
              </w:rPr>
              <w:lastRenderedPageBreak/>
              <w:t>Popper, Karl R., “The Logic of The Social Sciences” ,in:Adorno,T.W., et.al.(eds.),The Positivist Dispute in German Sociology, London:Heinemann,1976, pp.,68-86;105-122.</w:t>
            </w:r>
          </w:p>
          <w:p w:rsidR="00E8402E" w:rsidRPr="00E130E4" w:rsidRDefault="00FF4D44" w:rsidP="00B07E3C">
            <w:pPr>
              <w:ind w:left="720" w:hangingChars="300" w:hanging="720"/>
              <w:jc w:val="both"/>
              <w:rPr>
                <w:rFonts w:eastAsia="標楷體"/>
              </w:rPr>
            </w:pPr>
            <w:r w:rsidRPr="00E130E4">
              <w:rPr>
                <w:rFonts w:eastAsia="標楷體"/>
              </w:rPr>
              <w:t>Adorno,T.W., “On The Logic of The Social Sciences”,in:Adorno,T.W., et.al.(eds.),The Positivist Dispute in German Sociology, London:Heinemann,1976, pp.,68-86;105-122.</w:t>
            </w:r>
          </w:p>
        </w:tc>
      </w:tr>
      <w:tr w:rsidR="00E8402E" w:rsidRPr="00E130E4" w:rsidTr="00B07E3C">
        <w:tc>
          <w:tcPr>
            <w:tcW w:w="1368" w:type="dxa"/>
          </w:tcPr>
          <w:p w:rsidR="00E8402E" w:rsidRPr="00E130E4" w:rsidRDefault="00E8402E" w:rsidP="00B07E3C">
            <w:pPr>
              <w:jc w:val="center"/>
              <w:rPr>
                <w:sz w:val="26"/>
                <w:szCs w:val="26"/>
              </w:rPr>
            </w:pPr>
            <w:r w:rsidRPr="00E130E4">
              <w:rPr>
                <w:sz w:val="26"/>
                <w:szCs w:val="26"/>
              </w:rPr>
              <w:lastRenderedPageBreak/>
              <w:t>第</w:t>
            </w:r>
            <w:r w:rsidRPr="00E130E4">
              <w:rPr>
                <w:sz w:val="26"/>
                <w:szCs w:val="26"/>
              </w:rPr>
              <w:t>15</w:t>
            </w:r>
            <w:proofErr w:type="gramStart"/>
            <w:r w:rsidRPr="00E130E4">
              <w:rPr>
                <w:sz w:val="26"/>
                <w:szCs w:val="26"/>
              </w:rPr>
              <w:t>週</w:t>
            </w:r>
            <w:proofErr w:type="gramEnd"/>
          </w:p>
        </w:tc>
        <w:tc>
          <w:tcPr>
            <w:tcW w:w="8280" w:type="dxa"/>
            <w:gridSpan w:val="8"/>
          </w:tcPr>
          <w:p w:rsidR="00FF4D44" w:rsidRPr="00E130E4" w:rsidRDefault="00E8402E" w:rsidP="00B07E3C">
            <w:pPr>
              <w:jc w:val="both"/>
              <w:rPr>
                <w:rFonts w:eastAsia="標楷體"/>
              </w:rPr>
            </w:pPr>
            <w:r w:rsidRPr="00E130E4">
              <w:t>主題：</w:t>
            </w:r>
            <w:r w:rsidR="00FF4D44" w:rsidRPr="00E130E4">
              <w:rPr>
                <w:rFonts w:eastAsia="標楷體"/>
              </w:rPr>
              <w:t xml:space="preserve"> Habermas</w:t>
            </w:r>
            <w:r w:rsidR="00FF4D44" w:rsidRPr="00E130E4">
              <w:rPr>
                <w:rFonts w:eastAsia="標楷體"/>
              </w:rPr>
              <w:t>論經驗分析科學與辯證法</w:t>
            </w:r>
          </w:p>
          <w:p w:rsidR="00FF4D44" w:rsidRPr="00E130E4" w:rsidRDefault="00FF4D44" w:rsidP="00B07E3C">
            <w:pPr>
              <w:jc w:val="both"/>
              <w:rPr>
                <w:rFonts w:eastAsia="標楷體"/>
              </w:rPr>
            </w:pPr>
            <w:r w:rsidRPr="00E130E4">
              <w:rPr>
                <w:rFonts w:eastAsia="標楷體"/>
              </w:rPr>
              <w:t>教材：</w:t>
            </w:r>
          </w:p>
          <w:p w:rsidR="00E8402E" w:rsidRPr="00E130E4" w:rsidRDefault="00FF4D44" w:rsidP="00B07E3C">
            <w:pPr>
              <w:ind w:left="720" w:hangingChars="300" w:hanging="720"/>
              <w:jc w:val="both"/>
              <w:rPr>
                <w:rFonts w:eastAsia="標楷體"/>
              </w:rPr>
            </w:pPr>
            <w:r w:rsidRPr="00E130E4">
              <w:rPr>
                <w:rFonts w:eastAsia="標楷體"/>
              </w:rPr>
              <w:t>Habermas</w:t>
            </w:r>
            <w:proofErr w:type="gramStart"/>
            <w:r w:rsidRPr="00E130E4">
              <w:rPr>
                <w:rFonts w:eastAsia="標楷體"/>
              </w:rPr>
              <w:t>,J</w:t>
            </w:r>
            <w:proofErr w:type="gramEnd"/>
            <w:r w:rsidRPr="00E130E4">
              <w:rPr>
                <w:rFonts w:eastAsia="標楷體"/>
              </w:rPr>
              <w:t xml:space="preserve">., “The Analytical Theory of Science and Dialectics”,in: Adorno,T.W., et.al.(eds.),The Positivist Dispute in German Sociology, </w:t>
            </w:r>
            <w:smartTag w:uri="urn:schemas-microsoft-com:office:smarttags" w:element="place">
              <w:smartTag w:uri="urn:schemas-microsoft-com:office:smarttags" w:element="City">
                <w:r w:rsidRPr="00E130E4">
                  <w:rPr>
                    <w:rFonts w:eastAsia="標楷體"/>
                  </w:rPr>
                  <w:t>London</w:t>
                </w:r>
              </w:smartTag>
            </w:smartTag>
            <w:r w:rsidRPr="00E130E4">
              <w:rPr>
                <w:rFonts w:eastAsia="標楷體"/>
              </w:rPr>
              <w:t>:Heinemann,1976, pp.,131-162.</w:t>
            </w:r>
          </w:p>
        </w:tc>
      </w:tr>
      <w:tr w:rsidR="00E8402E" w:rsidRPr="00E130E4" w:rsidTr="00B07E3C">
        <w:tc>
          <w:tcPr>
            <w:tcW w:w="1368" w:type="dxa"/>
          </w:tcPr>
          <w:p w:rsidR="00E8402E" w:rsidRPr="00E130E4" w:rsidRDefault="00E8402E" w:rsidP="00B07E3C">
            <w:pPr>
              <w:jc w:val="center"/>
              <w:rPr>
                <w:sz w:val="26"/>
                <w:szCs w:val="26"/>
              </w:rPr>
            </w:pPr>
            <w:r w:rsidRPr="00E130E4">
              <w:rPr>
                <w:sz w:val="26"/>
                <w:szCs w:val="26"/>
              </w:rPr>
              <w:t>第</w:t>
            </w:r>
            <w:r w:rsidRPr="00E130E4">
              <w:rPr>
                <w:sz w:val="26"/>
                <w:szCs w:val="26"/>
              </w:rPr>
              <w:t>16</w:t>
            </w:r>
            <w:proofErr w:type="gramStart"/>
            <w:r w:rsidRPr="00E130E4">
              <w:rPr>
                <w:sz w:val="26"/>
                <w:szCs w:val="26"/>
              </w:rPr>
              <w:t>週</w:t>
            </w:r>
            <w:proofErr w:type="gramEnd"/>
          </w:p>
        </w:tc>
        <w:tc>
          <w:tcPr>
            <w:tcW w:w="8280" w:type="dxa"/>
            <w:gridSpan w:val="8"/>
          </w:tcPr>
          <w:p w:rsidR="00FF4D44" w:rsidRPr="00E130E4" w:rsidRDefault="00E8402E" w:rsidP="00B07E3C">
            <w:pPr>
              <w:jc w:val="both"/>
              <w:rPr>
                <w:rFonts w:eastAsia="標楷體"/>
              </w:rPr>
            </w:pPr>
            <w:r w:rsidRPr="00E130E4">
              <w:t>主題：</w:t>
            </w:r>
            <w:r w:rsidR="00FF4D44" w:rsidRPr="00E130E4">
              <w:rPr>
                <w:rFonts w:eastAsia="標楷體"/>
              </w:rPr>
              <w:t>語言分析對經驗理論之檢討</w:t>
            </w:r>
          </w:p>
          <w:p w:rsidR="00FF4D44" w:rsidRPr="00E130E4" w:rsidRDefault="00FF4D44" w:rsidP="00B07E3C">
            <w:pPr>
              <w:jc w:val="both"/>
              <w:rPr>
                <w:rFonts w:eastAsia="標楷體"/>
              </w:rPr>
            </w:pPr>
            <w:r w:rsidRPr="00E130E4">
              <w:rPr>
                <w:rFonts w:eastAsia="標楷體"/>
              </w:rPr>
              <w:t>教材：</w:t>
            </w:r>
          </w:p>
          <w:p w:rsidR="00E8402E" w:rsidRPr="00E130E4" w:rsidRDefault="00FF4D44" w:rsidP="00B07E3C">
            <w:pPr>
              <w:ind w:left="720" w:hangingChars="300" w:hanging="720"/>
              <w:jc w:val="both"/>
              <w:rPr>
                <w:rFonts w:eastAsia="標楷體"/>
              </w:rPr>
            </w:pPr>
            <w:r w:rsidRPr="00E130E4">
              <w:rPr>
                <w:rFonts w:eastAsia="標楷體"/>
              </w:rPr>
              <w:t>Bernstein,R.J.,The Restructuring of Social and Politic Theory, N.Y.and London: Harcourt Brace Jovanovich,1976, pp.,55-114;115-236</w:t>
            </w:r>
          </w:p>
        </w:tc>
      </w:tr>
      <w:tr w:rsidR="00E8402E" w:rsidRPr="00E130E4" w:rsidTr="00B07E3C">
        <w:tc>
          <w:tcPr>
            <w:tcW w:w="1368" w:type="dxa"/>
          </w:tcPr>
          <w:p w:rsidR="00E8402E" w:rsidRPr="00E130E4" w:rsidRDefault="00E8402E" w:rsidP="00B07E3C">
            <w:pPr>
              <w:jc w:val="center"/>
              <w:rPr>
                <w:sz w:val="26"/>
                <w:szCs w:val="26"/>
              </w:rPr>
            </w:pPr>
            <w:r w:rsidRPr="00E130E4">
              <w:rPr>
                <w:sz w:val="26"/>
                <w:szCs w:val="26"/>
              </w:rPr>
              <w:t>第</w:t>
            </w:r>
            <w:r w:rsidRPr="00E130E4">
              <w:rPr>
                <w:sz w:val="26"/>
                <w:szCs w:val="26"/>
              </w:rPr>
              <w:t>17</w:t>
            </w:r>
            <w:proofErr w:type="gramStart"/>
            <w:r w:rsidRPr="00E130E4">
              <w:rPr>
                <w:sz w:val="26"/>
                <w:szCs w:val="26"/>
              </w:rPr>
              <w:t>週</w:t>
            </w:r>
            <w:proofErr w:type="gramEnd"/>
          </w:p>
        </w:tc>
        <w:tc>
          <w:tcPr>
            <w:tcW w:w="8280" w:type="dxa"/>
            <w:gridSpan w:val="8"/>
          </w:tcPr>
          <w:p w:rsidR="00FF4D44" w:rsidRPr="00E130E4" w:rsidRDefault="00E8402E" w:rsidP="00B07E3C">
            <w:pPr>
              <w:jc w:val="both"/>
              <w:rPr>
                <w:rFonts w:eastAsia="標楷體"/>
              </w:rPr>
            </w:pPr>
            <w:r w:rsidRPr="00E130E4">
              <w:t>主題：</w:t>
            </w:r>
            <w:r w:rsidR="00FF4D44" w:rsidRPr="00E130E4">
              <w:rPr>
                <w:rFonts w:eastAsia="標楷體"/>
              </w:rPr>
              <w:t>後現代性對方法論之反思</w:t>
            </w:r>
          </w:p>
          <w:p w:rsidR="00FF4D44" w:rsidRPr="00E130E4" w:rsidRDefault="00FF4D44" w:rsidP="00B07E3C">
            <w:pPr>
              <w:jc w:val="both"/>
              <w:rPr>
                <w:rFonts w:eastAsia="標楷體"/>
              </w:rPr>
            </w:pPr>
            <w:r w:rsidRPr="00E130E4">
              <w:rPr>
                <w:rFonts w:eastAsia="標楷體"/>
              </w:rPr>
              <w:t>教材：</w:t>
            </w:r>
          </w:p>
          <w:p w:rsidR="00E8402E" w:rsidRPr="00E130E4" w:rsidRDefault="00FF4D44" w:rsidP="00B07E3C">
            <w:pPr>
              <w:jc w:val="both"/>
              <w:rPr>
                <w:rFonts w:eastAsia="標楷體"/>
                <w:b/>
                <w:bCs/>
              </w:rPr>
            </w:pPr>
            <w:r w:rsidRPr="00E130E4">
              <w:rPr>
                <w:rStyle w:val="a8"/>
                <w:rFonts w:eastAsia="標楷體"/>
                <w:b w:val="0"/>
              </w:rPr>
              <w:t>Feyerabend, P. ,</w:t>
            </w:r>
            <w:r w:rsidRPr="00E130E4">
              <w:rPr>
                <w:rStyle w:val="a3"/>
                <w:rFonts w:eastAsia="標楷體"/>
                <w:b/>
              </w:rPr>
              <w:t xml:space="preserve"> </w:t>
            </w:r>
            <w:r w:rsidRPr="00E130E4">
              <w:rPr>
                <w:rStyle w:val="a8"/>
                <w:rFonts w:eastAsia="標楷體"/>
                <w:b w:val="0"/>
              </w:rPr>
              <w:t xml:space="preserve">Against method, </w:t>
            </w:r>
            <w:smartTag w:uri="urn:schemas-microsoft-com:office:smarttags" w:element="City">
              <w:r w:rsidRPr="00E130E4">
                <w:rPr>
                  <w:rFonts w:eastAsia="標楷體"/>
                </w:rPr>
                <w:t>London</w:t>
              </w:r>
            </w:smartTag>
            <w:r w:rsidRPr="00E130E4">
              <w:rPr>
                <w:rFonts w:eastAsia="標楷體"/>
              </w:rPr>
              <w:t xml:space="preserve"> ; </w:t>
            </w:r>
            <w:smartTag w:uri="urn:schemas-microsoft-com:office:smarttags" w:element="State">
              <w:smartTag w:uri="urn:schemas-microsoft-com:office:smarttags" w:element="place">
                <w:r w:rsidRPr="00E130E4">
                  <w:rPr>
                    <w:rFonts w:eastAsia="標楷體"/>
                  </w:rPr>
                  <w:t>New York</w:t>
                </w:r>
              </w:smartTag>
            </w:smartTag>
            <w:r w:rsidRPr="00E130E4">
              <w:rPr>
                <w:rFonts w:eastAsia="標楷體"/>
              </w:rPr>
              <w:t xml:space="preserve"> : Verso, 1993</w:t>
            </w:r>
          </w:p>
        </w:tc>
      </w:tr>
      <w:tr w:rsidR="00E8402E" w:rsidRPr="00E130E4" w:rsidTr="00B07E3C">
        <w:tc>
          <w:tcPr>
            <w:tcW w:w="1368" w:type="dxa"/>
          </w:tcPr>
          <w:p w:rsidR="00E8402E" w:rsidRPr="00E130E4" w:rsidRDefault="00E8402E" w:rsidP="00B07E3C">
            <w:pPr>
              <w:jc w:val="center"/>
              <w:rPr>
                <w:sz w:val="26"/>
                <w:szCs w:val="26"/>
              </w:rPr>
            </w:pPr>
            <w:r w:rsidRPr="00E130E4">
              <w:rPr>
                <w:sz w:val="26"/>
                <w:szCs w:val="26"/>
              </w:rPr>
              <w:t>第</w:t>
            </w:r>
            <w:r w:rsidRPr="00E130E4">
              <w:rPr>
                <w:sz w:val="26"/>
                <w:szCs w:val="26"/>
              </w:rPr>
              <w:t>18</w:t>
            </w:r>
            <w:proofErr w:type="gramStart"/>
            <w:r w:rsidRPr="00E130E4">
              <w:rPr>
                <w:sz w:val="26"/>
                <w:szCs w:val="26"/>
              </w:rPr>
              <w:t>週</w:t>
            </w:r>
            <w:proofErr w:type="gramEnd"/>
          </w:p>
        </w:tc>
        <w:tc>
          <w:tcPr>
            <w:tcW w:w="8280" w:type="dxa"/>
            <w:gridSpan w:val="8"/>
          </w:tcPr>
          <w:p w:rsidR="00E8402E" w:rsidRPr="00E130E4" w:rsidRDefault="00E8402E" w:rsidP="00B07E3C">
            <w:pPr>
              <w:jc w:val="both"/>
              <w:rPr>
                <w:rFonts w:eastAsia="標楷體"/>
              </w:rPr>
            </w:pPr>
            <w:r w:rsidRPr="00E130E4">
              <w:t>主題：</w:t>
            </w:r>
            <w:r w:rsidR="00FF4D44" w:rsidRPr="00E130E4">
              <w:rPr>
                <w:rFonts w:eastAsia="標楷體"/>
              </w:rPr>
              <w:t>總結討論</w:t>
            </w:r>
          </w:p>
        </w:tc>
      </w:tr>
    </w:tbl>
    <w:p w:rsidR="00C90F93" w:rsidRPr="00E130E4" w:rsidRDefault="00C90F93" w:rsidP="00C90F93">
      <w:pPr>
        <w:jc w:val="center"/>
      </w:pPr>
    </w:p>
    <w:sectPr w:rsidR="00C90F93" w:rsidRPr="00E130E4" w:rsidSect="008C62F8">
      <w:pgSz w:w="11906" w:h="16838"/>
      <w:pgMar w:top="1134" w:right="1134"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402" w:rsidRDefault="00BB2402" w:rsidP="00024CDC">
      <w:r>
        <w:separator/>
      </w:r>
    </w:p>
  </w:endnote>
  <w:endnote w:type="continuationSeparator" w:id="0">
    <w:p w:rsidR="00BB2402" w:rsidRDefault="00BB2402" w:rsidP="00024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402" w:rsidRDefault="00BB2402" w:rsidP="00024CDC">
      <w:r>
        <w:separator/>
      </w:r>
    </w:p>
  </w:footnote>
  <w:footnote w:type="continuationSeparator" w:id="0">
    <w:p w:rsidR="00BB2402" w:rsidRDefault="00BB2402" w:rsidP="00024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910EB"/>
    <w:multiLevelType w:val="singleLevel"/>
    <w:tmpl w:val="62FCFC4C"/>
    <w:lvl w:ilvl="0">
      <w:start w:val="1"/>
      <w:numFmt w:val="decimal"/>
      <w:lvlText w:val="%1."/>
      <w:lvlJc w:val="left"/>
      <w:pPr>
        <w:tabs>
          <w:tab w:val="num" w:pos="240"/>
        </w:tabs>
        <w:ind w:left="240" w:hanging="2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1CE1"/>
    <w:rsid w:val="00024CDC"/>
    <w:rsid w:val="00047B75"/>
    <w:rsid w:val="000B4B4A"/>
    <w:rsid w:val="00117BDE"/>
    <w:rsid w:val="00194ED3"/>
    <w:rsid w:val="002146E8"/>
    <w:rsid w:val="003F1CE1"/>
    <w:rsid w:val="0047011D"/>
    <w:rsid w:val="00494651"/>
    <w:rsid w:val="00530CB8"/>
    <w:rsid w:val="00556A20"/>
    <w:rsid w:val="00680F25"/>
    <w:rsid w:val="006D297A"/>
    <w:rsid w:val="00703F21"/>
    <w:rsid w:val="00744BC5"/>
    <w:rsid w:val="007E395B"/>
    <w:rsid w:val="00836192"/>
    <w:rsid w:val="008522F6"/>
    <w:rsid w:val="008C62F8"/>
    <w:rsid w:val="00957CE6"/>
    <w:rsid w:val="009B5ED7"/>
    <w:rsid w:val="009D31A8"/>
    <w:rsid w:val="009F3026"/>
    <w:rsid w:val="00A360DF"/>
    <w:rsid w:val="00A57520"/>
    <w:rsid w:val="00B07E3C"/>
    <w:rsid w:val="00B11FCE"/>
    <w:rsid w:val="00B47CCD"/>
    <w:rsid w:val="00BB2402"/>
    <w:rsid w:val="00BC2780"/>
    <w:rsid w:val="00C90F93"/>
    <w:rsid w:val="00CA7F5D"/>
    <w:rsid w:val="00D51569"/>
    <w:rsid w:val="00D82C34"/>
    <w:rsid w:val="00D92271"/>
    <w:rsid w:val="00D926A5"/>
    <w:rsid w:val="00DB2C26"/>
    <w:rsid w:val="00DD6E03"/>
    <w:rsid w:val="00E130E4"/>
    <w:rsid w:val="00E8402E"/>
    <w:rsid w:val="00EA3BD2"/>
    <w:rsid w:val="00EC0966"/>
    <w:rsid w:val="00EC3BA6"/>
    <w:rsid w:val="00FC0DA1"/>
    <w:rsid w:val="00FF4D4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F1CE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024CDC"/>
    <w:pPr>
      <w:tabs>
        <w:tab w:val="center" w:pos="4153"/>
        <w:tab w:val="right" w:pos="8306"/>
      </w:tabs>
      <w:snapToGrid w:val="0"/>
    </w:pPr>
    <w:rPr>
      <w:sz w:val="20"/>
      <w:szCs w:val="20"/>
    </w:rPr>
  </w:style>
  <w:style w:type="character" w:customStyle="1" w:styleId="a5">
    <w:name w:val="頁首 字元"/>
    <w:basedOn w:val="a0"/>
    <w:link w:val="a4"/>
    <w:rsid w:val="00024CDC"/>
    <w:rPr>
      <w:kern w:val="2"/>
    </w:rPr>
  </w:style>
  <w:style w:type="paragraph" w:styleId="a6">
    <w:name w:val="footer"/>
    <w:basedOn w:val="a"/>
    <w:link w:val="a7"/>
    <w:rsid w:val="00024CDC"/>
    <w:pPr>
      <w:tabs>
        <w:tab w:val="center" w:pos="4153"/>
        <w:tab w:val="right" w:pos="8306"/>
      </w:tabs>
      <w:snapToGrid w:val="0"/>
    </w:pPr>
    <w:rPr>
      <w:sz w:val="20"/>
      <w:szCs w:val="20"/>
    </w:rPr>
  </w:style>
  <w:style w:type="character" w:customStyle="1" w:styleId="a7">
    <w:name w:val="頁尾 字元"/>
    <w:basedOn w:val="a0"/>
    <w:link w:val="a6"/>
    <w:rsid w:val="00024CDC"/>
    <w:rPr>
      <w:kern w:val="2"/>
    </w:rPr>
  </w:style>
  <w:style w:type="character" w:styleId="a8">
    <w:name w:val="Strong"/>
    <w:basedOn w:val="a0"/>
    <w:qFormat/>
    <w:rsid w:val="006D297A"/>
    <w:rPr>
      <w:b/>
      <w:bCs/>
    </w:rPr>
  </w:style>
  <w:style w:type="character" w:customStyle="1" w:styleId="citval1">
    <w:name w:val="citval1"/>
    <w:basedOn w:val="a0"/>
    <w:rsid w:val="006D297A"/>
    <w:rPr>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1515</Words>
  <Characters>8637</Characters>
  <Application>Microsoft Office Word</Application>
  <DocSecurity>0</DocSecurity>
  <Lines>71</Lines>
  <Paragraphs>20</Paragraphs>
  <ScaleCrop>false</ScaleCrop>
  <Company/>
  <LinksUpToDate>false</LinksUpToDate>
  <CharactersWithSpaces>10132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國立臺灣大學國家發展研究所97學年度第2學期課程綱要</dc:title>
  <dc:creator>user</dc:creator>
  <cp:lastModifiedBy>user</cp:lastModifiedBy>
  <cp:revision>2</cp:revision>
  <cp:lastPrinted>2011-06-07T10:14:00Z</cp:lastPrinted>
  <dcterms:created xsi:type="dcterms:W3CDTF">2013-06-04T07:36:00Z</dcterms:created>
  <dcterms:modified xsi:type="dcterms:W3CDTF">2013-06-04T07:36:00Z</dcterms:modified>
</cp:coreProperties>
</file>