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61" w:rsidRDefault="002222C6" w:rsidP="0022731F">
      <w:pPr>
        <w:spacing w:after="0" w:line="240" w:lineRule="atLeast"/>
        <w:jc w:val="center"/>
        <w:rPr>
          <w:rFonts w:cs="Arial"/>
          <w:b/>
          <w:sz w:val="28"/>
          <w:szCs w:val="28"/>
          <w:lang w:eastAsia="zh-TW"/>
        </w:rPr>
      </w:pPr>
      <w:r w:rsidRPr="0022731F">
        <w:rPr>
          <w:rFonts w:cs="Arial"/>
          <w:b/>
          <w:sz w:val="28"/>
          <w:szCs w:val="28"/>
        </w:rPr>
        <w:t>Derivatives Trading Strategies</w:t>
      </w:r>
    </w:p>
    <w:p w:rsidR="00417D0F" w:rsidRPr="00417D0F" w:rsidRDefault="00417D0F" w:rsidP="0022731F">
      <w:pPr>
        <w:spacing w:after="0" w:line="240" w:lineRule="atLeast"/>
        <w:jc w:val="center"/>
        <w:rPr>
          <w:rFonts w:cs="Arial"/>
          <w:bCs/>
          <w:sz w:val="24"/>
          <w:szCs w:val="24"/>
          <w:lang w:eastAsia="zh-TW"/>
        </w:rPr>
      </w:pPr>
    </w:p>
    <w:p w:rsidR="00417D0F" w:rsidRPr="00417D0F" w:rsidRDefault="00922EA2" w:rsidP="00417D0F">
      <w:pPr>
        <w:spacing w:after="0" w:line="240" w:lineRule="atLeast"/>
        <w:jc w:val="both"/>
        <w:rPr>
          <w:rFonts w:ascii="Calibri" w:eastAsia="新細明體" w:hAnsi="Calibri" w:cs="新細明體"/>
          <w:color w:val="000000"/>
          <w:lang w:eastAsia="zh-TW"/>
        </w:rPr>
      </w:pPr>
      <w:bookmarkStart w:id="0" w:name="_GoBack"/>
      <w:bookmarkEnd w:id="0"/>
      <w:r>
        <w:rPr>
          <w:rFonts w:ascii="Calibri" w:eastAsia="新細明體" w:hAnsi="Calibri" w:cs="新細明體" w:hint="eastAsia"/>
          <w:color w:val="000000"/>
        </w:rPr>
        <w:t>201</w:t>
      </w:r>
      <w:r>
        <w:rPr>
          <w:rFonts w:ascii="Calibri" w:eastAsia="新細明體" w:hAnsi="Calibri" w:cs="新細明體" w:hint="eastAsia"/>
          <w:color w:val="000000"/>
          <w:lang w:eastAsia="zh-TW"/>
        </w:rPr>
        <w:t>4</w:t>
      </w:r>
    </w:p>
    <w:p w:rsidR="00417D0F" w:rsidRPr="00417D0F" w:rsidRDefault="00417D0F" w:rsidP="00417D0F">
      <w:pPr>
        <w:spacing w:after="0" w:line="240" w:lineRule="atLeast"/>
        <w:jc w:val="both"/>
        <w:rPr>
          <w:rFonts w:ascii="Calibri" w:eastAsia="新細明體" w:hAnsi="Calibri" w:cs="新細明體"/>
          <w:color w:val="000000"/>
          <w:sz w:val="21"/>
          <w:szCs w:val="21"/>
          <w:lang w:eastAsia="zh-TW"/>
        </w:rPr>
      </w:pPr>
      <w:r w:rsidRPr="00417D0F">
        <w:rPr>
          <w:rFonts w:ascii="Calibri" w:eastAsia="新細明體" w:hAnsi="Calibri" w:cs="新細明體" w:hint="eastAsia"/>
          <w:color w:val="000000"/>
        </w:rPr>
        <w:t>Prof.</w:t>
      </w:r>
      <w:r w:rsidRPr="00417D0F">
        <w:rPr>
          <w:rFonts w:ascii="Calibri" w:eastAsia="新細明體" w:hAnsi="Calibri" w:cs="新細明體" w:hint="eastAsia"/>
          <w:color w:val="000000"/>
          <w:lang w:eastAsia="zh-TW"/>
        </w:rPr>
        <w:t xml:space="preserve"> </w:t>
      </w:r>
      <w:r w:rsidRPr="00417D0F">
        <w:rPr>
          <w:rFonts w:ascii="Calibri" w:eastAsia="新細明體" w:hAnsi="Calibri" w:cs="新細明體" w:hint="eastAsia"/>
          <w:color w:val="000000"/>
        </w:rPr>
        <w:t xml:space="preserve">Tobias </w:t>
      </w:r>
      <w:proofErr w:type="spellStart"/>
      <w:r w:rsidRPr="00417D0F">
        <w:rPr>
          <w:rFonts w:ascii="Calibri" w:eastAsia="新細明體" w:hAnsi="Calibri" w:cs="新細明體" w:hint="eastAsia"/>
          <w:color w:val="000000"/>
        </w:rPr>
        <w:t>Hekster</w:t>
      </w:r>
      <w:proofErr w:type="spellEnd"/>
    </w:p>
    <w:p w:rsidR="00417D0F" w:rsidRPr="00417D0F" w:rsidRDefault="00417D0F" w:rsidP="00417D0F">
      <w:pPr>
        <w:spacing w:after="0" w:line="240" w:lineRule="atLeast"/>
        <w:jc w:val="both"/>
        <w:rPr>
          <w:rFonts w:cs="Arial"/>
          <w:bCs/>
          <w:sz w:val="24"/>
          <w:szCs w:val="24"/>
          <w:lang w:eastAsia="zh-TW"/>
        </w:rPr>
      </w:pPr>
    </w:p>
    <w:p w:rsidR="007D2B73" w:rsidRDefault="007D2B73" w:rsidP="007D2B73">
      <w:pPr>
        <w:spacing w:after="0" w:line="240" w:lineRule="atLeast"/>
        <w:jc w:val="both"/>
        <w:rPr>
          <w:rFonts w:ascii="Calibri" w:eastAsia="新細明體" w:hAnsi="Calibri" w:cs="新細明體"/>
          <w:b/>
          <w:bCs/>
          <w:color w:val="0000FF"/>
          <w:szCs w:val="24"/>
          <w:lang w:eastAsia="zh-TW"/>
        </w:rPr>
      </w:pPr>
      <w:r w:rsidRPr="00E70119">
        <w:rPr>
          <w:rFonts w:ascii="Calibri" w:eastAsia="新細明體" w:hAnsi="Calibri" w:cs="新細明體"/>
          <w:b/>
          <w:bCs/>
          <w:color w:val="0000FF"/>
          <w:szCs w:val="24"/>
        </w:rPr>
        <w:t>Aim/Course Objectives</w:t>
      </w:r>
    </w:p>
    <w:p w:rsidR="00C92142" w:rsidRPr="00E70119" w:rsidRDefault="00C92142" w:rsidP="007D2B73">
      <w:pPr>
        <w:spacing w:after="0" w:line="240" w:lineRule="atLeast"/>
        <w:jc w:val="both"/>
        <w:rPr>
          <w:rFonts w:ascii="新細明體" w:eastAsia="新細明體" w:hAnsi="新細明體" w:cs="新細明體"/>
          <w:b/>
          <w:bCs/>
          <w:color w:val="000000"/>
          <w:szCs w:val="24"/>
          <w:lang w:eastAsia="zh-TW"/>
        </w:rPr>
      </w:pP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新細明體" w:eastAsia="新細明體" w:hAnsi="新細明體" w:cs="新細明體"/>
          <w:color w:val="000000"/>
          <w:szCs w:val="24"/>
        </w:rPr>
        <w:t> </w:t>
      </w: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Whereas the vast majority of market participants are exposed to derivatives trading, their</w:t>
      </w:r>
    </w:p>
    <w:p w:rsidR="007D2B73" w:rsidRPr="00E70119" w:rsidRDefault="007D2B73" w:rsidP="007D2B73">
      <w:pPr>
        <w:spacing w:after="0" w:line="240" w:lineRule="atLeast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perspectives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vary. In some functions, such as risk management, the purely theoretical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framework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of options theory is applied, whereas others look at the derivatives market as a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directional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market‐taker. But it is the application of the options theory in practice, where many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market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participants lack the proper skills and tools.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新細明體" w:eastAsia="新細明體" w:hAnsi="新細明體" w:cs="新細明體"/>
          <w:color w:val="000000"/>
          <w:szCs w:val="24"/>
        </w:rPr>
        <w:t> 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This course aims to fill that gap, not only by discussing options theory from a practical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perspective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, but also by enabling the students to apply theoretical knowledge of derivatives in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actual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trading strategies. While knowledge of options theory is a requirement for this course,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the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start of this course will be a recap of options theory albeit from a market practitioners’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perspective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.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新細明體" w:eastAsia="新細明體" w:hAnsi="新細明體" w:cs="新細明體"/>
          <w:color w:val="000000"/>
          <w:szCs w:val="24"/>
        </w:rPr>
        <w:t> 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Two options trading strategies will be analyzed in‐depth: Options Market Making and Volatility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Arbitrage.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In order to fully grasp these strategies, advanced characteristics of derivatives will be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discussed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(for example the concept of skew and the effects of early exercise). Additionally,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emphasis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will be placed on the risk management methodologies that are required for properly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managing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these strategies.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新細明體" w:eastAsia="新細明體" w:hAnsi="新細明體" w:cs="新細明體"/>
          <w:color w:val="000000"/>
          <w:szCs w:val="24"/>
        </w:rPr>
        <w:t> 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The students will apply their knowledge in practice: the discussion of each trading strategy is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concluded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with a trading session, where students will run their own trading book in a simulated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market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environment with real‐time market data.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新細明體" w:eastAsia="新細明體" w:hAnsi="新細明體" w:cs="新細明體"/>
          <w:color w:val="000000"/>
          <w:szCs w:val="24"/>
        </w:rPr>
        <w:t> </w:t>
      </w:r>
    </w:p>
    <w:p w:rsidR="007D2B73" w:rsidRDefault="007D2B73" w:rsidP="007D2B73">
      <w:pPr>
        <w:spacing w:after="0" w:line="240" w:lineRule="atLeast"/>
        <w:jc w:val="both"/>
        <w:rPr>
          <w:rFonts w:ascii="Calibri" w:eastAsia="新細明體" w:hAnsi="Calibri" w:cs="新細明體"/>
          <w:b/>
          <w:bCs/>
          <w:color w:val="0000FF"/>
          <w:szCs w:val="24"/>
          <w:lang w:eastAsia="zh-TW"/>
        </w:rPr>
      </w:pPr>
      <w:r w:rsidRPr="00E70119">
        <w:rPr>
          <w:rFonts w:ascii="Calibri" w:eastAsia="新細明體" w:hAnsi="Calibri" w:cs="新細明體"/>
          <w:b/>
          <w:bCs/>
          <w:color w:val="0000FF"/>
          <w:szCs w:val="24"/>
        </w:rPr>
        <w:t>Learning outcome of the course</w:t>
      </w:r>
    </w:p>
    <w:p w:rsidR="00C92142" w:rsidRPr="00E70119" w:rsidRDefault="00C92142" w:rsidP="007D2B73">
      <w:pPr>
        <w:spacing w:after="0" w:line="240" w:lineRule="atLeast"/>
        <w:jc w:val="both"/>
        <w:rPr>
          <w:rFonts w:ascii="新細明體" w:eastAsia="新細明體" w:hAnsi="新細明體" w:cs="新細明體"/>
          <w:b/>
          <w:bCs/>
          <w:color w:val="000000"/>
          <w:szCs w:val="24"/>
          <w:lang w:eastAsia="zh-TW"/>
        </w:rPr>
      </w:pP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By the end of this course, students should be able to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1) Understand the concept of ‘price discovery’, the role that markets play in this concept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and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the impact of market design (‘market microstructure’)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2) Apply and evaluate the basic strategies in futures and options, from the perspective of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both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investors as arbitrageurs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3) Understand options theory from an analytical perspective (the behavior of options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under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various circumstances), but also be able to use this options theory in actual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trading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situations and in managing options positions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4) Understand the concept of implied volatility and the pivotal role this plays in analyzing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option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markets. Furthermore, students will be able to summarize the volatility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information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of the options market into generic formulae (volatility curves and volatility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surfaces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)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5) Manage an options position from the perspective of a market maker, including scenario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based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risk management and dynamic adjustment of trading parameters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6) Understand advanced options characteristics such as early exercise and the pricing of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tail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events. Students will further understand specific advanced options strategies, such</w:t>
      </w:r>
    </w:p>
    <w:p w:rsidR="007D2B73" w:rsidRDefault="007D2B73" w:rsidP="007D2B73">
      <w:pPr>
        <w:spacing w:after="0" w:line="240" w:lineRule="atLeast"/>
        <w:jc w:val="both"/>
        <w:rPr>
          <w:rFonts w:ascii="Calibri" w:eastAsia="新細明體" w:hAnsi="Calibri" w:cs="新細明體"/>
          <w:color w:val="000000"/>
          <w:sz w:val="21"/>
          <w:szCs w:val="21"/>
          <w:lang w:eastAsia="zh-TW"/>
        </w:rPr>
      </w:pP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as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volatility arbitrage and dispersion trading</w:t>
      </w:r>
      <w:r w:rsidR="0022731F">
        <w:rPr>
          <w:rFonts w:ascii="Calibri" w:eastAsia="新細明體" w:hAnsi="Calibri" w:cs="新細明體" w:hint="eastAsia"/>
          <w:color w:val="000000"/>
          <w:sz w:val="21"/>
          <w:szCs w:val="21"/>
          <w:lang w:eastAsia="zh-TW"/>
        </w:rPr>
        <w:t>.</w:t>
      </w:r>
    </w:p>
    <w:p w:rsidR="007D2B73" w:rsidRDefault="007D2B73" w:rsidP="007D2B73">
      <w:pPr>
        <w:spacing w:after="0" w:line="240" w:lineRule="atLeast"/>
        <w:jc w:val="both"/>
        <w:rPr>
          <w:rFonts w:ascii="Calibri" w:eastAsia="新細明體" w:hAnsi="Calibri" w:cs="新細明體"/>
          <w:b/>
          <w:bCs/>
          <w:color w:val="0000FF"/>
          <w:szCs w:val="24"/>
          <w:lang w:eastAsia="zh-TW"/>
        </w:rPr>
      </w:pPr>
      <w:r w:rsidRPr="00E70119">
        <w:rPr>
          <w:rFonts w:ascii="Calibri" w:eastAsia="新細明體" w:hAnsi="Calibri" w:cs="新細明體"/>
          <w:b/>
          <w:bCs/>
          <w:color w:val="0000FF"/>
          <w:szCs w:val="24"/>
        </w:rPr>
        <w:lastRenderedPageBreak/>
        <w:t>Recommended text book</w:t>
      </w:r>
    </w:p>
    <w:p w:rsidR="00C92142" w:rsidRPr="00E70119" w:rsidRDefault="00C92142" w:rsidP="007D2B73">
      <w:pPr>
        <w:spacing w:after="0" w:line="240" w:lineRule="atLeast"/>
        <w:jc w:val="both"/>
        <w:rPr>
          <w:rFonts w:ascii="新細明體" w:eastAsia="新細明體" w:hAnsi="新細明體" w:cs="新細明體"/>
          <w:b/>
          <w:bCs/>
          <w:color w:val="000000"/>
          <w:szCs w:val="24"/>
          <w:lang w:eastAsia="zh-TW"/>
        </w:rPr>
      </w:pP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Arial" w:eastAsia="新細明體" w:hAnsi="Arial" w:cs="Arial"/>
          <w:i/>
          <w:iCs/>
          <w:color w:val="000000"/>
          <w:sz w:val="21"/>
          <w:szCs w:val="21"/>
        </w:rPr>
        <w:t xml:space="preserve">Options, Futures and other derivatives </w:t>
      </w: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by Hull, Prentice Hall [‘Hull’]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Arial" w:eastAsia="新細明體" w:hAnsi="Arial" w:cs="Arial"/>
          <w:i/>
          <w:iCs/>
          <w:color w:val="000000"/>
          <w:sz w:val="21"/>
          <w:szCs w:val="21"/>
        </w:rPr>
        <w:t xml:space="preserve">Algorithmic Trading and DMA </w:t>
      </w: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by Johnson, 4 Myeloma Press [‘DMA’]. (</w:t>
      </w: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most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likely copy of few chapters)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新細明體" w:eastAsia="新細明體" w:hAnsi="新細明體" w:cs="新細明體"/>
          <w:color w:val="000000"/>
          <w:szCs w:val="24"/>
        </w:rPr>
        <w:t> </w:t>
      </w:r>
    </w:p>
    <w:p w:rsidR="007D2B73" w:rsidRDefault="007D2B73" w:rsidP="007D2B73">
      <w:pPr>
        <w:spacing w:after="0" w:line="240" w:lineRule="atLeast"/>
        <w:jc w:val="both"/>
        <w:rPr>
          <w:rFonts w:ascii="Calibri" w:eastAsia="新細明體" w:hAnsi="Calibri" w:cs="新細明體"/>
          <w:b/>
          <w:bCs/>
          <w:color w:val="0000FF"/>
          <w:szCs w:val="24"/>
          <w:lang w:eastAsia="zh-TW"/>
        </w:rPr>
      </w:pPr>
      <w:r w:rsidRPr="00E70119">
        <w:rPr>
          <w:rFonts w:ascii="新細明體" w:eastAsia="新細明體" w:hAnsi="新細明體" w:cs="新細明體"/>
          <w:color w:val="000000"/>
          <w:szCs w:val="24"/>
        </w:rPr>
        <w:t> </w:t>
      </w:r>
      <w:r w:rsidRPr="00E70119">
        <w:rPr>
          <w:rFonts w:ascii="Calibri" w:eastAsia="新細明體" w:hAnsi="Calibri" w:cs="新細明體"/>
          <w:b/>
          <w:bCs/>
          <w:color w:val="0000FF"/>
          <w:szCs w:val="24"/>
        </w:rPr>
        <w:t>Grading and Assessment breakdown (the weight of final exams, assignments, class participation in the final grade)</w:t>
      </w:r>
    </w:p>
    <w:p w:rsidR="00C92142" w:rsidRPr="00E70119" w:rsidRDefault="00C92142" w:rsidP="007D2B73">
      <w:pPr>
        <w:spacing w:after="0" w:line="240" w:lineRule="atLeast"/>
        <w:jc w:val="both"/>
        <w:rPr>
          <w:rFonts w:ascii="新細明體" w:eastAsia="新細明體" w:hAnsi="新細明體" w:cs="新細明體"/>
          <w:b/>
          <w:bCs/>
          <w:color w:val="000000"/>
          <w:szCs w:val="24"/>
          <w:lang w:eastAsia="zh-TW"/>
        </w:rPr>
      </w:pP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新細明體" w:eastAsia="新細明體" w:hAnsi="新細明體" w:cs="新細明體"/>
          <w:color w:val="000000"/>
          <w:szCs w:val="24"/>
        </w:rPr>
        <w:t> </w:t>
      </w: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One Group Assignments (15%): </w:t>
      </w:r>
      <w:r w:rsidR="0022731F">
        <w:rPr>
          <w:rFonts w:ascii="Calibri" w:eastAsia="新細明體" w:hAnsi="Calibri" w:cs="新細明體" w:hint="eastAsia"/>
          <w:color w:val="000000"/>
          <w:sz w:val="21"/>
          <w:szCs w:val="21"/>
          <w:lang w:eastAsia="zh-TW"/>
        </w:rPr>
        <w:t xml:space="preserve">   </w:t>
      </w: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(</w:t>
      </w:r>
      <w:proofErr w:type="spell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i</w:t>
      </w:r>
      <w:proofErr w:type="spell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) investigating a volatility arbitrage strategy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One Individual Assignment (15%) (ii) </w:t>
      </w:r>
      <w:proofErr w:type="gramStart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drafting</w:t>
      </w:r>
      <w:proofErr w:type="gramEnd"/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 xml:space="preserve"> a structured product</w:t>
      </w:r>
    </w:p>
    <w:p w:rsidR="007D2B73" w:rsidRPr="00E70119" w:rsidRDefault="007D2B73" w:rsidP="007D2B73">
      <w:pPr>
        <w:spacing w:after="0" w:line="240" w:lineRule="atLeast"/>
        <w:jc w:val="both"/>
        <w:rPr>
          <w:rFonts w:ascii="新細明體" w:eastAsia="新細明體" w:hAnsi="新細明體" w:cs="新細明體"/>
          <w:color w:val="000000"/>
          <w:szCs w:val="24"/>
        </w:rPr>
      </w:pPr>
      <w:r w:rsidRPr="00E70119">
        <w:rPr>
          <w:rFonts w:ascii="Calibri" w:eastAsia="新細明體" w:hAnsi="Calibri" w:cs="新細明體"/>
          <w:color w:val="000000"/>
          <w:sz w:val="21"/>
          <w:szCs w:val="21"/>
        </w:rPr>
        <w:t>Final Exam (65%)</w:t>
      </w:r>
    </w:p>
    <w:p w:rsidR="007D2B73" w:rsidRDefault="007D2B73" w:rsidP="007D2B73">
      <w:pPr>
        <w:spacing w:after="0" w:line="240" w:lineRule="atLeast"/>
        <w:jc w:val="both"/>
      </w:pPr>
      <w:r w:rsidRPr="00E70119">
        <w:rPr>
          <w:rFonts w:ascii="Calibri" w:eastAsia="新細明體" w:hAnsi="Calibri" w:cs="Times New Roman"/>
          <w:color w:val="000000"/>
          <w:sz w:val="21"/>
          <w:szCs w:val="21"/>
        </w:rPr>
        <w:t>Class participation and contribution (5%)</w:t>
      </w:r>
    </w:p>
    <w:p w:rsidR="00463166" w:rsidRDefault="00463166" w:rsidP="007D2B73">
      <w:pPr>
        <w:spacing w:after="0" w:line="240" w:lineRule="atLeast"/>
        <w:jc w:val="both"/>
        <w:rPr>
          <w:rFonts w:ascii="Arial" w:eastAsia="新細明體" w:hAnsi="Arial" w:cs="Arial" w:hint="eastAsia"/>
          <w:color w:val="000000"/>
          <w:sz w:val="21"/>
          <w:szCs w:val="21"/>
          <w:lang w:eastAsia="zh-TW"/>
        </w:rPr>
      </w:pPr>
    </w:p>
    <w:p w:rsidR="00922EA2" w:rsidRDefault="00922EA2" w:rsidP="007D2B73">
      <w:pPr>
        <w:spacing w:after="0" w:line="240" w:lineRule="atLeast"/>
        <w:jc w:val="both"/>
        <w:rPr>
          <w:rFonts w:ascii="Arial" w:eastAsia="新細明體" w:hAnsi="Arial" w:cs="Arial" w:hint="eastAsia"/>
          <w:color w:val="000000"/>
          <w:sz w:val="21"/>
          <w:szCs w:val="21"/>
          <w:lang w:eastAsia="zh-TW"/>
        </w:rPr>
      </w:pPr>
    </w:p>
    <w:p w:rsidR="00922EA2" w:rsidRDefault="00922EA2" w:rsidP="00922EA2">
      <w:pPr>
        <w:rPr>
          <w:rFonts w:ascii="Tahoma" w:hAnsi="Tahoma" w:cs="Tahoma"/>
          <w:color w:val="000000"/>
          <w:sz w:val="20"/>
          <w:szCs w:val="20"/>
        </w:rPr>
      </w:pPr>
    </w:p>
    <w:p w:rsidR="00922EA2" w:rsidRDefault="00922EA2" w:rsidP="00922EA2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新細明體" w:hAnsi="新細明體" w:cs="新細明體"/>
          <w:color w:val="000000"/>
          <w:sz w:val="24"/>
          <w:szCs w:val="24"/>
        </w:rPr>
      </w:pPr>
      <w:hyperlink r:id="rId8" w:tooltip="Derivatives Trading_Introduction 1" w:history="1">
        <w:r>
          <w:rPr>
            <w:rStyle w:val="a8"/>
            <w:rFonts w:ascii="Times New Roman" w:hAnsi="Times New Roman" w:cs="Times New Roman"/>
            <w:b/>
            <w:bCs/>
            <w:color w:val="333333"/>
          </w:rPr>
          <w:t>Derivatives Trading_Introduction 1</w:t>
        </w:r>
      </w:hyperlink>
    </w:p>
    <w:p w:rsidR="00922EA2" w:rsidRDefault="00922EA2" w:rsidP="00922EA2">
      <w:pPr>
        <w:spacing w:before="100" w:beforeAutospacing="1" w:after="100" w:afterAutospacing="1"/>
        <w:rPr>
          <w:rFonts w:hint="eastAsia"/>
          <w:color w:val="000000"/>
        </w:rPr>
      </w:pPr>
      <w:hyperlink r:id="rId9" w:history="1">
        <w:r>
          <w:rPr>
            <w:rStyle w:val="a8"/>
            <w:rFonts w:ascii="Times New Roman" w:hAnsi="Times New Roman" w:cs="Times New Roman"/>
          </w:rPr>
          <w:t>http://youtu.be/rqvEpUQi9Uo</w:t>
        </w:r>
      </w:hyperlink>
    </w:p>
    <w:p w:rsidR="00922EA2" w:rsidRDefault="00922EA2" w:rsidP="00922EA2">
      <w:pPr>
        <w:spacing w:before="100" w:beforeAutospacing="1" w:after="100" w:afterAutospacing="1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922EA2" w:rsidRDefault="00922EA2" w:rsidP="00922EA2">
      <w:pPr>
        <w:pStyle w:val="1"/>
        <w:shd w:val="clear" w:color="auto" w:fill="FFFFFF"/>
        <w:spacing w:before="0" w:beforeAutospacing="0" w:after="0" w:afterAutospacing="0" w:line="240" w:lineRule="atLeast"/>
        <w:rPr>
          <w:rFonts w:ascii="Tahoma" w:hAnsi="Tahoma" w:cs="Tahoma" w:hint="eastAsia"/>
          <w:color w:val="000000"/>
        </w:rPr>
      </w:pPr>
      <w:hyperlink r:id="rId10" w:tooltip="Derivatives Trading_Introduction 2" w:history="1">
        <w:r>
          <w:rPr>
            <w:rStyle w:val="a8"/>
            <w:rFonts w:ascii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Derivatives Trading_Introduction 2</w:t>
        </w:r>
      </w:hyperlink>
    </w:p>
    <w:p w:rsidR="00922EA2" w:rsidRDefault="00922EA2" w:rsidP="00922EA2">
      <w:pPr>
        <w:spacing w:before="100" w:beforeAutospacing="1" w:after="100" w:afterAutospacing="1"/>
        <w:rPr>
          <w:rFonts w:ascii="新細明體" w:hAnsi="新細明體" w:cs="新細明體"/>
          <w:color w:val="000000"/>
        </w:rPr>
      </w:pPr>
      <w:hyperlink r:id="rId11" w:history="1">
        <w:r>
          <w:rPr>
            <w:rStyle w:val="a8"/>
            <w:rFonts w:ascii="Times New Roman" w:hAnsi="Times New Roman" w:cs="Times New Roman"/>
          </w:rPr>
          <w:t>http://youtu.be/krfdN9WNMF8</w:t>
        </w:r>
      </w:hyperlink>
    </w:p>
    <w:p w:rsidR="00922EA2" w:rsidRDefault="00922EA2" w:rsidP="00922EA2">
      <w:pPr>
        <w:spacing w:before="100" w:beforeAutospacing="1" w:after="100" w:afterAutospacing="1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922EA2" w:rsidRDefault="00922EA2" w:rsidP="00922EA2">
      <w:pPr>
        <w:pStyle w:val="1"/>
        <w:shd w:val="clear" w:color="auto" w:fill="FFFFFF"/>
        <w:spacing w:before="0" w:beforeAutospacing="0" w:after="0" w:afterAutospacing="0" w:line="240" w:lineRule="atLeast"/>
        <w:rPr>
          <w:rFonts w:ascii="Tahoma" w:hAnsi="Tahoma" w:cs="Tahoma" w:hint="eastAsia"/>
          <w:color w:val="000000"/>
        </w:rPr>
      </w:pPr>
      <w:hyperlink r:id="rId12" w:tooltip="Derivatives Trading_Sharing_Chun-Lin Wu" w:history="1">
        <w:r>
          <w:rPr>
            <w:rStyle w:val="a8"/>
            <w:rFonts w:ascii="Times New Roman" w:hAnsi="Times New Roman" w:cs="Times New Roman"/>
            <w:color w:val="333333"/>
            <w:sz w:val="24"/>
            <w:szCs w:val="24"/>
            <w:bdr w:val="none" w:sz="0" w:space="0" w:color="auto" w:frame="1"/>
          </w:rPr>
          <w:t>Derivatives Trading_Sharing_Chun-Lin Wu</w:t>
        </w:r>
      </w:hyperlink>
    </w:p>
    <w:p w:rsidR="00922EA2" w:rsidRDefault="00922EA2" w:rsidP="00922EA2">
      <w:pPr>
        <w:spacing w:before="100" w:beforeAutospacing="1" w:after="100" w:afterAutospacing="1"/>
        <w:rPr>
          <w:rFonts w:ascii="新細明體" w:hAnsi="新細明體" w:cs="新細明體"/>
          <w:color w:val="000000"/>
        </w:rPr>
      </w:pPr>
      <w:hyperlink r:id="rId13" w:tgtFrame="_blank" w:history="1">
        <w:r>
          <w:rPr>
            <w:rStyle w:val="a8"/>
            <w:rFonts w:ascii="Times New Roman" w:hAnsi="Times New Roman" w:cs="Times New Roman"/>
          </w:rPr>
          <w:t>http://youtu.be/pdybmtewD1Q</w:t>
        </w:r>
      </w:hyperlink>
    </w:p>
    <w:p w:rsidR="00922EA2" w:rsidRDefault="00922EA2" w:rsidP="00922EA2">
      <w:pPr>
        <w:spacing w:before="100" w:beforeAutospacing="1" w:after="100" w:afterAutospacing="1"/>
        <w:rPr>
          <w:rFonts w:hint="eastAsia"/>
          <w:color w:val="000000"/>
        </w:rPr>
      </w:pPr>
    </w:p>
    <w:p w:rsidR="00922EA2" w:rsidRPr="00922EA2" w:rsidRDefault="00922EA2" w:rsidP="007D2B73">
      <w:pPr>
        <w:spacing w:after="0" w:line="240" w:lineRule="atLeast"/>
        <w:jc w:val="both"/>
        <w:rPr>
          <w:rFonts w:ascii="Arial" w:eastAsia="新細明體" w:hAnsi="Arial" w:cs="Arial"/>
          <w:color w:val="000000"/>
          <w:sz w:val="21"/>
          <w:szCs w:val="21"/>
          <w:lang w:eastAsia="zh-TW"/>
        </w:rPr>
      </w:pPr>
    </w:p>
    <w:sectPr w:rsidR="00922EA2" w:rsidRPr="00922EA2" w:rsidSect="00172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70" w:rsidRDefault="000B2670" w:rsidP="005533EE">
      <w:pPr>
        <w:spacing w:after="0" w:line="240" w:lineRule="auto"/>
      </w:pPr>
      <w:r>
        <w:separator/>
      </w:r>
    </w:p>
  </w:endnote>
  <w:endnote w:type="continuationSeparator" w:id="0">
    <w:p w:rsidR="000B2670" w:rsidRDefault="000B2670" w:rsidP="0055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70" w:rsidRDefault="000B2670" w:rsidP="005533EE">
      <w:pPr>
        <w:spacing w:after="0" w:line="240" w:lineRule="auto"/>
      </w:pPr>
      <w:r>
        <w:separator/>
      </w:r>
    </w:p>
  </w:footnote>
  <w:footnote w:type="continuationSeparator" w:id="0">
    <w:p w:rsidR="000B2670" w:rsidRDefault="000B2670" w:rsidP="0055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8EF"/>
    <w:multiLevelType w:val="hybridMultilevel"/>
    <w:tmpl w:val="23B07A74"/>
    <w:lvl w:ilvl="0" w:tplc="7CF658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2DA6"/>
    <w:multiLevelType w:val="hybridMultilevel"/>
    <w:tmpl w:val="58D42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2EF1"/>
    <w:multiLevelType w:val="hybridMultilevel"/>
    <w:tmpl w:val="DE842268"/>
    <w:lvl w:ilvl="0" w:tplc="83A28780">
      <w:start w:val="1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7689"/>
    <w:multiLevelType w:val="hybridMultilevel"/>
    <w:tmpl w:val="0B1A5036"/>
    <w:lvl w:ilvl="0" w:tplc="37E4A81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620D"/>
    <w:multiLevelType w:val="hybridMultilevel"/>
    <w:tmpl w:val="6E8AFD16"/>
    <w:lvl w:ilvl="0" w:tplc="8C447D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E260F"/>
    <w:multiLevelType w:val="hybridMultilevel"/>
    <w:tmpl w:val="410AA186"/>
    <w:lvl w:ilvl="0" w:tplc="F70669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368F"/>
    <w:multiLevelType w:val="hybridMultilevel"/>
    <w:tmpl w:val="07640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76E"/>
    <w:multiLevelType w:val="hybridMultilevel"/>
    <w:tmpl w:val="76806C6E"/>
    <w:lvl w:ilvl="0" w:tplc="886AF1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0A5C"/>
    <w:multiLevelType w:val="hybridMultilevel"/>
    <w:tmpl w:val="58D42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2F0"/>
    <w:multiLevelType w:val="hybridMultilevel"/>
    <w:tmpl w:val="8AB48B60"/>
    <w:lvl w:ilvl="0" w:tplc="739C8DA6">
      <w:start w:val="1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C1"/>
    <w:rsid w:val="000041A9"/>
    <w:rsid w:val="000130AC"/>
    <w:rsid w:val="00031624"/>
    <w:rsid w:val="000B2670"/>
    <w:rsid w:val="000B5322"/>
    <w:rsid w:val="000F1A05"/>
    <w:rsid w:val="00172A46"/>
    <w:rsid w:val="00194649"/>
    <w:rsid w:val="001B46B5"/>
    <w:rsid w:val="002222C6"/>
    <w:rsid w:val="0022731F"/>
    <w:rsid w:val="00325232"/>
    <w:rsid w:val="003323BA"/>
    <w:rsid w:val="00357ACF"/>
    <w:rsid w:val="00374F35"/>
    <w:rsid w:val="00402247"/>
    <w:rsid w:val="00417D0F"/>
    <w:rsid w:val="00463166"/>
    <w:rsid w:val="004B0CCB"/>
    <w:rsid w:val="00527FE3"/>
    <w:rsid w:val="005533EE"/>
    <w:rsid w:val="00617DA4"/>
    <w:rsid w:val="00694A5F"/>
    <w:rsid w:val="006A19EB"/>
    <w:rsid w:val="006A523F"/>
    <w:rsid w:val="006A7574"/>
    <w:rsid w:val="006A7FF8"/>
    <w:rsid w:val="00705A87"/>
    <w:rsid w:val="00777A5D"/>
    <w:rsid w:val="00785F74"/>
    <w:rsid w:val="007C166D"/>
    <w:rsid w:val="007D2B73"/>
    <w:rsid w:val="008A2848"/>
    <w:rsid w:val="008B3CB8"/>
    <w:rsid w:val="009028C1"/>
    <w:rsid w:val="00922EA2"/>
    <w:rsid w:val="009C10E7"/>
    <w:rsid w:val="009D13ED"/>
    <w:rsid w:val="009F1628"/>
    <w:rsid w:val="00A05890"/>
    <w:rsid w:val="00A16369"/>
    <w:rsid w:val="00A16EC8"/>
    <w:rsid w:val="00A54A1A"/>
    <w:rsid w:val="00A62589"/>
    <w:rsid w:val="00A74361"/>
    <w:rsid w:val="00AD00C1"/>
    <w:rsid w:val="00AD7A97"/>
    <w:rsid w:val="00B57546"/>
    <w:rsid w:val="00BC02EB"/>
    <w:rsid w:val="00BF1C75"/>
    <w:rsid w:val="00C1134F"/>
    <w:rsid w:val="00C23922"/>
    <w:rsid w:val="00C372CE"/>
    <w:rsid w:val="00C90CFD"/>
    <w:rsid w:val="00C92142"/>
    <w:rsid w:val="00CD333E"/>
    <w:rsid w:val="00D3368D"/>
    <w:rsid w:val="00D620A3"/>
    <w:rsid w:val="00D8340A"/>
    <w:rsid w:val="00DB190D"/>
    <w:rsid w:val="00EC46E8"/>
    <w:rsid w:val="00ED5A49"/>
    <w:rsid w:val="00F23C40"/>
    <w:rsid w:val="00F71A94"/>
    <w:rsid w:val="00FB1F85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B73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3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semiHidden/>
    <w:rsid w:val="005533EE"/>
  </w:style>
  <w:style w:type="paragraph" w:styleId="a6">
    <w:name w:val="footer"/>
    <w:basedOn w:val="a"/>
    <w:link w:val="a7"/>
    <w:uiPriority w:val="99"/>
    <w:semiHidden/>
    <w:unhideWhenUsed/>
    <w:rsid w:val="00553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semiHidden/>
    <w:rsid w:val="005533EE"/>
  </w:style>
  <w:style w:type="character" w:styleId="a8">
    <w:name w:val="Hyperlink"/>
    <w:basedOn w:val="a0"/>
    <w:uiPriority w:val="99"/>
    <w:unhideWhenUsed/>
    <w:rsid w:val="000F1A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FB1F85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7D2B73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B73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3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semiHidden/>
    <w:rsid w:val="005533EE"/>
  </w:style>
  <w:style w:type="paragraph" w:styleId="a6">
    <w:name w:val="footer"/>
    <w:basedOn w:val="a"/>
    <w:link w:val="a7"/>
    <w:uiPriority w:val="99"/>
    <w:semiHidden/>
    <w:unhideWhenUsed/>
    <w:rsid w:val="00553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semiHidden/>
    <w:rsid w:val="005533EE"/>
  </w:style>
  <w:style w:type="character" w:styleId="a8">
    <w:name w:val="Hyperlink"/>
    <w:basedOn w:val="a0"/>
    <w:uiPriority w:val="99"/>
    <w:unhideWhenUsed/>
    <w:rsid w:val="000F1A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FB1F85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7D2B73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vEpUQi9Uo" TargetMode="External"/><Relationship Id="rId13" Type="http://schemas.openxmlformats.org/officeDocument/2006/relationships/hyperlink" Target="http://youtu.be/pdybmtewD1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dybmtewD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.be/krfdN9WNMF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rfdN9WNM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rqvEpUQi9U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2012-02-23T01:53:00Z</cp:lastPrinted>
  <dcterms:created xsi:type="dcterms:W3CDTF">2014-07-14T04:18:00Z</dcterms:created>
  <dcterms:modified xsi:type="dcterms:W3CDTF">2014-07-14T04:18:00Z</dcterms:modified>
</cp:coreProperties>
</file>