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237C1" w14:textId="12E768E6" w:rsidR="006E29D9" w:rsidRPr="00C56DCE" w:rsidRDefault="00C56DCE" w:rsidP="006E29D9">
      <w:pPr>
        <w:spacing w:line="280" w:lineRule="exact"/>
        <w:jc w:val="center"/>
        <w:rPr>
          <w:rFonts w:ascii="Arial" w:hAnsi="Arial"/>
          <w:b/>
          <w:sz w:val="28"/>
          <w:lang w:eastAsia="zh-CN"/>
        </w:rPr>
      </w:pPr>
      <w:r>
        <w:rPr>
          <w:rFonts w:ascii="Arial" w:hAnsi="Arial"/>
          <w:b/>
          <w:sz w:val="28"/>
        </w:rPr>
        <w:t xml:space="preserve">ACC </w:t>
      </w:r>
      <w:r w:rsidR="00C956A9">
        <w:rPr>
          <w:rFonts w:ascii="Arial" w:hAnsi="Arial"/>
          <w:b/>
          <w:sz w:val="28"/>
        </w:rPr>
        <w:t>5011</w:t>
      </w:r>
    </w:p>
    <w:p w14:paraId="5A8BCCB4" w14:textId="656C78AA" w:rsidR="00C956A9" w:rsidRDefault="00C956A9" w:rsidP="00C956A9">
      <w:pPr>
        <w:spacing w:line="280" w:lineRule="exact"/>
        <w:jc w:val="center"/>
        <w:rPr>
          <w:rFonts w:ascii="Arial" w:hAnsi="Arial"/>
          <w:b/>
          <w:sz w:val="28"/>
        </w:rPr>
      </w:pPr>
      <w:r>
        <w:rPr>
          <w:rFonts w:ascii="Arial" w:hAnsi="Arial"/>
          <w:b/>
          <w:sz w:val="28"/>
        </w:rPr>
        <w:t xml:space="preserve">Enterprise </w:t>
      </w:r>
      <w:r>
        <w:rPr>
          <w:rFonts w:ascii="Arial" w:hAnsi="Arial" w:hint="eastAsia"/>
          <w:b/>
          <w:sz w:val="28"/>
        </w:rPr>
        <w:t>Risk Management</w:t>
      </w:r>
    </w:p>
    <w:p w14:paraId="251E9EA3" w14:textId="74199789" w:rsidR="006E29D9" w:rsidRDefault="00C56DCE" w:rsidP="006E29D9">
      <w:pPr>
        <w:spacing w:line="280" w:lineRule="exact"/>
        <w:jc w:val="center"/>
        <w:rPr>
          <w:rFonts w:ascii="Arial" w:hAnsi="Arial"/>
          <w:b/>
          <w:smallCaps/>
          <w:sz w:val="28"/>
        </w:rPr>
      </w:pPr>
      <w:r>
        <w:rPr>
          <w:rFonts w:ascii="Arial" w:hAnsi="Arial" w:hint="eastAsia"/>
          <w:b/>
          <w:smallCaps/>
          <w:sz w:val="28"/>
          <w:lang w:eastAsia="zh-CN"/>
        </w:rPr>
        <w:t>Fall</w:t>
      </w:r>
      <w:r w:rsidR="006E29D9">
        <w:rPr>
          <w:rFonts w:ascii="Arial" w:hAnsi="Arial"/>
          <w:b/>
          <w:smallCaps/>
          <w:sz w:val="28"/>
        </w:rPr>
        <w:t xml:space="preserve"> 2016</w:t>
      </w:r>
    </w:p>
    <w:p w14:paraId="22B89A66" w14:textId="77777777" w:rsidR="006E29D9" w:rsidRDefault="006E29D9" w:rsidP="006E29D9">
      <w:pPr>
        <w:tabs>
          <w:tab w:val="left" w:pos="5040"/>
        </w:tabs>
        <w:jc w:val="both"/>
        <w:rPr>
          <w:rFonts w:ascii="Arial" w:hAnsi="Arial"/>
          <w:sz w:val="24"/>
        </w:rPr>
      </w:pPr>
    </w:p>
    <w:p w14:paraId="1F0803F6" w14:textId="266827B2" w:rsidR="006E29D9" w:rsidRDefault="00C56DCE" w:rsidP="006E29D9">
      <w:pPr>
        <w:tabs>
          <w:tab w:val="left" w:pos="4590"/>
        </w:tabs>
        <w:spacing w:line="240" w:lineRule="exact"/>
        <w:jc w:val="both"/>
        <w:rPr>
          <w:rFonts w:ascii="Arial" w:hAnsi="Arial"/>
          <w:sz w:val="24"/>
          <w:lang w:eastAsia="zh-CN"/>
        </w:rPr>
      </w:pPr>
      <w:r>
        <w:rPr>
          <w:rFonts w:ascii="Arial" w:hAnsi="Arial"/>
          <w:b/>
          <w:sz w:val="24"/>
        </w:rPr>
        <w:t xml:space="preserve">Stanley Y. Chang, </w:t>
      </w:r>
      <w:proofErr w:type="spellStart"/>
      <w:proofErr w:type="gramStart"/>
      <w:r>
        <w:rPr>
          <w:rFonts w:ascii="Arial" w:hAnsi="Arial"/>
          <w:b/>
          <w:sz w:val="24"/>
        </w:rPr>
        <w:t>Ph.D</w:t>
      </w:r>
      <w:proofErr w:type="spellEnd"/>
      <w:proofErr w:type="gramEnd"/>
      <w:r w:rsidR="006E29D9">
        <w:rPr>
          <w:rFonts w:ascii="Arial" w:hAnsi="Arial"/>
          <w:sz w:val="24"/>
        </w:rPr>
        <w:tab/>
      </w:r>
      <w:r w:rsidR="00DD3A4C">
        <w:rPr>
          <w:rFonts w:ascii="Arial" w:hAnsi="Arial"/>
          <w:sz w:val="24"/>
        </w:rPr>
        <w:tab/>
      </w:r>
      <w:r w:rsidR="00DD3A4C">
        <w:rPr>
          <w:rFonts w:ascii="Arial" w:hAnsi="Arial"/>
          <w:sz w:val="24"/>
        </w:rPr>
        <w:tab/>
      </w:r>
      <w:r w:rsidR="006E29D9">
        <w:rPr>
          <w:rFonts w:ascii="Arial" w:hAnsi="Arial"/>
          <w:b/>
          <w:sz w:val="24"/>
        </w:rPr>
        <w:t>Office</w:t>
      </w:r>
      <w:r>
        <w:rPr>
          <w:rFonts w:ascii="Arial" w:hAnsi="Arial"/>
          <w:sz w:val="24"/>
        </w:rPr>
        <w:t xml:space="preserve">: </w:t>
      </w:r>
      <w:proofErr w:type="spellStart"/>
      <w:r w:rsidR="00F62048">
        <w:rPr>
          <w:rFonts w:ascii="Arial" w:hAnsi="Arial" w:hint="eastAsia"/>
          <w:sz w:val="24"/>
          <w:lang w:eastAsia="zh-CN"/>
        </w:rPr>
        <w:t>Mgmt</w:t>
      </w:r>
      <w:proofErr w:type="spellEnd"/>
      <w:r>
        <w:rPr>
          <w:rFonts w:ascii="Arial" w:hAnsi="Arial" w:hint="eastAsia"/>
          <w:sz w:val="24"/>
          <w:lang w:eastAsia="zh-CN"/>
        </w:rPr>
        <w:t xml:space="preserve"> Bldg. II, RM 1006</w:t>
      </w:r>
    </w:p>
    <w:p w14:paraId="118CC418" w14:textId="34D51637" w:rsidR="006E29D9" w:rsidRDefault="00C56DCE" w:rsidP="006E29D9">
      <w:pPr>
        <w:tabs>
          <w:tab w:val="left" w:pos="4590"/>
        </w:tabs>
        <w:spacing w:line="240" w:lineRule="exact"/>
        <w:jc w:val="both"/>
        <w:rPr>
          <w:rFonts w:ascii="Arial" w:hAnsi="Arial"/>
          <w:sz w:val="24"/>
          <w:lang w:eastAsia="zh-CN"/>
        </w:rPr>
      </w:pPr>
      <w:r>
        <w:rPr>
          <w:rFonts w:ascii="Arial" w:hAnsi="Arial" w:hint="eastAsia"/>
          <w:b/>
          <w:sz w:val="24"/>
          <w:lang w:eastAsia="zh-CN"/>
        </w:rPr>
        <w:t>CIA, CMA, CPA (TX),</w:t>
      </w:r>
      <w:r w:rsidR="006E29D9">
        <w:rPr>
          <w:rFonts w:ascii="Arial" w:hAnsi="Arial"/>
          <w:sz w:val="24"/>
        </w:rPr>
        <w:tab/>
      </w:r>
      <w:r w:rsidR="00DD3A4C">
        <w:rPr>
          <w:rFonts w:ascii="Arial" w:hAnsi="Arial"/>
          <w:sz w:val="24"/>
        </w:rPr>
        <w:tab/>
      </w:r>
      <w:r w:rsidR="00DD3A4C">
        <w:rPr>
          <w:rFonts w:ascii="Arial" w:hAnsi="Arial"/>
          <w:sz w:val="24"/>
        </w:rPr>
        <w:tab/>
      </w:r>
      <w:r w:rsidR="006E29D9">
        <w:rPr>
          <w:rFonts w:ascii="Arial" w:hAnsi="Arial"/>
          <w:b/>
          <w:sz w:val="24"/>
        </w:rPr>
        <w:t>Office Phone</w:t>
      </w:r>
      <w:r>
        <w:rPr>
          <w:rFonts w:ascii="Arial" w:hAnsi="Arial"/>
          <w:sz w:val="24"/>
        </w:rPr>
        <w:t xml:space="preserve">: </w:t>
      </w:r>
      <w:r w:rsidR="00FA382E">
        <w:rPr>
          <w:rFonts w:ascii="Arial" w:hAnsi="Arial"/>
          <w:sz w:val="24"/>
        </w:rPr>
        <w:t>3366-2</w:t>
      </w:r>
      <w:r w:rsidR="00F62048">
        <w:rPr>
          <w:rFonts w:ascii="Arial" w:hAnsi="Arial"/>
          <w:sz w:val="24"/>
        </w:rPr>
        <w:t>568</w:t>
      </w:r>
    </w:p>
    <w:p w14:paraId="604B8A62" w14:textId="3A8455C9" w:rsidR="006E29D9" w:rsidRDefault="00C56DCE" w:rsidP="006E29D9">
      <w:pPr>
        <w:tabs>
          <w:tab w:val="left" w:pos="4590"/>
        </w:tabs>
        <w:spacing w:line="240" w:lineRule="exact"/>
        <w:jc w:val="both"/>
        <w:rPr>
          <w:rFonts w:ascii="Arial" w:hAnsi="Arial"/>
          <w:sz w:val="24"/>
          <w:lang w:eastAsia="zh-CN"/>
        </w:rPr>
      </w:pPr>
      <w:r>
        <w:rPr>
          <w:rFonts w:ascii="Arial" w:hAnsi="Arial" w:hint="eastAsia"/>
          <w:b/>
          <w:sz w:val="24"/>
          <w:lang w:eastAsia="zh-CN"/>
        </w:rPr>
        <w:t>CCSA,</w:t>
      </w:r>
      <w:r w:rsidR="002F7C06">
        <w:rPr>
          <w:rFonts w:ascii="Arial" w:hAnsi="Arial"/>
          <w:b/>
          <w:sz w:val="24"/>
          <w:lang w:eastAsia="zh-CN"/>
        </w:rPr>
        <w:t xml:space="preserve"> </w:t>
      </w:r>
      <w:r>
        <w:rPr>
          <w:rFonts w:ascii="Arial" w:hAnsi="Arial" w:hint="eastAsia"/>
          <w:b/>
          <w:sz w:val="24"/>
          <w:lang w:eastAsia="zh-CN"/>
        </w:rPr>
        <w:t>CGAP, CGFM, CRMA</w:t>
      </w:r>
      <w:r w:rsidR="006E29D9">
        <w:rPr>
          <w:rFonts w:ascii="Arial" w:hAnsi="Arial"/>
          <w:sz w:val="24"/>
        </w:rPr>
        <w:tab/>
      </w:r>
      <w:r w:rsidR="00DD3A4C">
        <w:rPr>
          <w:rFonts w:ascii="Arial" w:hAnsi="Arial"/>
          <w:sz w:val="24"/>
        </w:rPr>
        <w:tab/>
      </w:r>
      <w:r w:rsidR="00DD3A4C">
        <w:rPr>
          <w:rFonts w:ascii="Arial" w:hAnsi="Arial"/>
          <w:sz w:val="24"/>
        </w:rPr>
        <w:tab/>
      </w:r>
      <w:r w:rsidR="006E29D9">
        <w:rPr>
          <w:rFonts w:ascii="Arial" w:hAnsi="Arial"/>
          <w:b/>
          <w:sz w:val="24"/>
        </w:rPr>
        <w:t>e-mail:</w:t>
      </w:r>
      <w:r w:rsidR="006E29D9">
        <w:rPr>
          <w:rFonts w:ascii="Arial" w:hAnsi="Arial"/>
          <w:sz w:val="24"/>
        </w:rPr>
        <w:t xml:space="preserve"> </w:t>
      </w:r>
      <w:r>
        <w:rPr>
          <w:rFonts w:ascii="Arial" w:hAnsi="Arial" w:hint="eastAsia"/>
          <w:sz w:val="24"/>
          <w:lang w:eastAsia="zh-CN"/>
        </w:rPr>
        <w:t>stanleychang@ntu.edu.tw</w:t>
      </w:r>
    </w:p>
    <w:p w14:paraId="4D08BE3F" w14:textId="6C9ABF73" w:rsidR="006E29D9" w:rsidRDefault="006E29D9" w:rsidP="006E29D9">
      <w:pPr>
        <w:tabs>
          <w:tab w:val="left" w:pos="4590"/>
        </w:tabs>
        <w:spacing w:line="240" w:lineRule="exact"/>
        <w:jc w:val="both"/>
        <w:rPr>
          <w:rFonts w:ascii="Arial" w:hAnsi="Arial"/>
          <w:sz w:val="24"/>
          <w:szCs w:val="24"/>
          <w:lang w:eastAsia="zh-CN"/>
        </w:rPr>
      </w:pPr>
      <w:r>
        <w:rPr>
          <w:rFonts w:ascii="Arial" w:hAnsi="Arial"/>
          <w:sz w:val="24"/>
        </w:rPr>
        <w:tab/>
      </w:r>
      <w:r w:rsidR="00DD3A4C">
        <w:rPr>
          <w:rFonts w:ascii="Arial" w:hAnsi="Arial"/>
          <w:sz w:val="24"/>
        </w:rPr>
        <w:tab/>
      </w:r>
      <w:r w:rsidR="00DD3A4C">
        <w:rPr>
          <w:rFonts w:ascii="Arial" w:hAnsi="Arial"/>
          <w:sz w:val="24"/>
        </w:rPr>
        <w:tab/>
      </w:r>
      <w:r>
        <w:rPr>
          <w:rFonts w:ascii="Arial" w:hAnsi="Arial"/>
          <w:b/>
          <w:sz w:val="24"/>
        </w:rPr>
        <w:t>Hours</w:t>
      </w:r>
      <w:r>
        <w:rPr>
          <w:rFonts w:ascii="Arial" w:hAnsi="Arial"/>
          <w:sz w:val="24"/>
        </w:rPr>
        <w:t xml:space="preserve">: </w:t>
      </w:r>
      <w:r w:rsidR="00C56DCE">
        <w:rPr>
          <w:rFonts w:ascii="Arial" w:hAnsi="Arial"/>
          <w:sz w:val="24"/>
          <w:szCs w:val="24"/>
        </w:rPr>
        <w:t>T</w:t>
      </w:r>
      <w:r w:rsidR="00C56DCE">
        <w:rPr>
          <w:rFonts w:ascii="Arial" w:hAnsi="Arial" w:hint="eastAsia"/>
          <w:sz w:val="24"/>
          <w:szCs w:val="24"/>
          <w:lang w:eastAsia="zh-CN"/>
        </w:rPr>
        <w:t>H 12- 1</w:t>
      </w:r>
      <w:r w:rsidR="00C56DCE">
        <w:rPr>
          <w:rFonts w:ascii="Arial" w:hAnsi="Arial"/>
          <w:sz w:val="24"/>
          <w:szCs w:val="24"/>
        </w:rPr>
        <w:t xml:space="preserve">, </w:t>
      </w:r>
      <w:r w:rsidR="00C56DCE">
        <w:rPr>
          <w:rFonts w:ascii="Arial" w:hAnsi="Arial" w:hint="eastAsia"/>
          <w:sz w:val="24"/>
          <w:szCs w:val="24"/>
          <w:lang w:eastAsia="zh-CN"/>
        </w:rPr>
        <w:t>F, 12-1</w:t>
      </w:r>
    </w:p>
    <w:p w14:paraId="756EEEDB" w14:textId="7B692A50" w:rsidR="00F62048" w:rsidRDefault="006E29D9" w:rsidP="00F62048">
      <w:pPr>
        <w:tabs>
          <w:tab w:val="left" w:pos="4590"/>
        </w:tabs>
        <w:spacing w:line="240" w:lineRule="exact"/>
        <w:jc w:val="both"/>
        <w:rPr>
          <w:rFonts w:ascii="Arial" w:hAnsi="Arial"/>
          <w:sz w:val="24"/>
          <w:szCs w:val="24"/>
        </w:rPr>
      </w:pPr>
      <w:r>
        <w:rPr>
          <w:rFonts w:ascii="Arial" w:hAnsi="Arial"/>
          <w:sz w:val="24"/>
          <w:szCs w:val="24"/>
        </w:rPr>
        <w:tab/>
      </w:r>
      <w:r>
        <w:rPr>
          <w:rFonts w:ascii="Arial" w:hAnsi="Arial"/>
          <w:sz w:val="24"/>
          <w:szCs w:val="24"/>
        </w:rPr>
        <w:tab/>
      </w:r>
      <w:r w:rsidR="00DD3A4C">
        <w:rPr>
          <w:rFonts w:ascii="Arial" w:hAnsi="Arial"/>
          <w:sz w:val="24"/>
          <w:szCs w:val="24"/>
        </w:rPr>
        <w:tab/>
      </w:r>
      <w:r>
        <w:rPr>
          <w:rFonts w:ascii="Arial" w:hAnsi="Arial"/>
          <w:sz w:val="24"/>
          <w:szCs w:val="24"/>
        </w:rPr>
        <w:t xml:space="preserve">      </w:t>
      </w:r>
      <w:r w:rsidRPr="00A25824">
        <w:rPr>
          <w:rFonts w:ascii="Arial" w:hAnsi="Arial"/>
          <w:sz w:val="24"/>
          <w:szCs w:val="24"/>
        </w:rPr>
        <w:t>and</w:t>
      </w:r>
      <w:r>
        <w:rPr>
          <w:rFonts w:ascii="Arial" w:hAnsi="Arial"/>
          <w:sz w:val="24"/>
          <w:szCs w:val="24"/>
        </w:rPr>
        <w:t xml:space="preserve"> </w:t>
      </w:r>
      <w:r w:rsidRPr="00A25824">
        <w:rPr>
          <w:rFonts w:ascii="Arial" w:hAnsi="Arial"/>
          <w:sz w:val="24"/>
          <w:szCs w:val="24"/>
        </w:rPr>
        <w:t>by appointment</w:t>
      </w:r>
    </w:p>
    <w:p w14:paraId="0C893D9F" w14:textId="77777777" w:rsidR="00F62048" w:rsidRPr="00F62048" w:rsidRDefault="00F62048" w:rsidP="00F62048">
      <w:pPr>
        <w:tabs>
          <w:tab w:val="left" w:pos="4590"/>
        </w:tabs>
        <w:spacing w:line="240" w:lineRule="exact"/>
        <w:jc w:val="both"/>
        <w:rPr>
          <w:rFonts w:ascii="Arial" w:hAnsi="Arial"/>
          <w:sz w:val="24"/>
        </w:rPr>
      </w:pPr>
    </w:p>
    <w:p w14:paraId="6C110125" w14:textId="4E4D31D2" w:rsidR="00F62048" w:rsidRDefault="00C956A9" w:rsidP="00F62048">
      <w:pPr>
        <w:pStyle w:val="1"/>
      </w:pPr>
      <w:r>
        <w:t>COURSE MATERIALS</w:t>
      </w:r>
    </w:p>
    <w:p w14:paraId="027D15FE" w14:textId="1275DA7B" w:rsidR="00C956A9" w:rsidRPr="009C67A2" w:rsidRDefault="00C956A9" w:rsidP="00C956A9">
      <w:pPr>
        <w:rPr>
          <w:rFonts w:ascii="Arial" w:hAnsi="Arial" w:cs="Arial"/>
          <w:sz w:val="24"/>
          <w:szCs w:val="24"/>
        </w:rPr>
      </w:pPr>
      <w:r w:rsidRPr="009C67A2">
        <w:rPr>
          <w:rFonts w:ascii="Arial" w:hAnsi="Arial" w:cs="Arial"/>
          <w:sz w:val="24"/>
          <w:szCs w:val="24"/>
        </w:rPr>
        <w:t>Required:</w:t>
      </w:r>
    </w:p>
    <w:p w14:paraId="7B9AE161" w14:textId="55D7518D" w:rsidR="00C956A9" w:rsidRPr="009C67A2" w:rsidRDefault="009C67A2" w:rsidP="00C956A9">
      <w:pPr>
        <w:rPr>
          <w:rFonts w:ascii="Arial" w:hAnsi="Arial" w:cs="Arial"/>
          <w:sz w:val="24"/>
          <w:szCs w:val="24"/>
        </w:rPr>
      </w:pPr>
      <w:r w:rsidRPr="009C67A2">
        <w:rPr>
          <w:rFonts w:ascii="Arial" w:hAnsi="Arial" w:cs="Arial"/>
          <w:bCs/>
          <w:sz w:val="24"/>
          <w:szCs w:val="24"/>
        </w:rPr>
        <w:t xml:space="preserve">Committee of Sponsoring Organizations of the </w:t>
      </w:r>
      <w:proofErr w:type="spellStart"/>
      <w:r w:rsidRPr="009C67A2">
        <w:rPr>
          <w:rFonts w:ascii="Arial" w:hAnsi="Arial" w:cs="Arial"/>
          <w:bCs/>
          <w:sz w:val="24"/>
          <w:szCs w:val="24"/>
        </w:rPr>
        <w:t>Treadway</w:t>
      </w:r>
      <w:proofErr w:type="spellEnd"/>
      <w:r w:rsidRPr="009C67A2">
        <w:rPr>
          <w:rFonts w:ascii="Arial" w:hAnsi="Arial" w:cs="Arial"/>
          <w:bCs/>
          <w:sz w:val="24"/>
          <w:szCs w:val="24"/>
        </w:rPr>
        <w:t xml:space="preserve"> Commission (COSO) </w:t>
      </w:r>
      <w:r w:rsidR="00C956A9" w:rsidRPr="009C67A2">
        <w:rPr>
          <w:rFonts w:ascii="Arial" w:hAnsi="Arial" w:cs="Arial"/>
          <w:sz w:val="24"/>
          <w:szCs w:val="24"/>
        </w:rPr>
        <w:t xml:space="preserve">2016 Enterprise Risk Management Exposure Draft (you may download a free review copy at the COSO </w:t>
      </w:r>
      <w:proofErr w:type="spellStart"/>
      <w:r w:rsidR="00C956A9" w:rsidRPr="009C67A2">
        <w:rPr>
          <w:rFonts w:ascii="Arial" w:hAnsi="Arial" w:cs="Arial"/>
          <w:sz w:val="24"/>
          <w:szCs w:val="24"/>
        </w:rPr>
        <w:t>websit</w:t>
      </w:r>
      <w:proofErr w:type="spellEnd"/>
      <w:r w:rsidR="00C956A9" w:rsidRPr="009C67A2">
        <w:rPr>
          <w:rFonts w:ascii="Arial" w:hAnsi="Arial" w:cs="Arial"/>
          <w:sz w:val="24"/>
          <w:szCs w:val="24"/>
        </w:rPr>
        <w:t xml:space="preserve"> BEFORE 9/30 2016)</w:t>
      </w:r>
    </w:p>
    <w:p w14:paraId="51BCA20F" w14:textId="2DE99E4D" w:rsidR="009C67A2" w:rsidRPr="009C67A2" w:rsidRDefault="009C67A2" w:rsidP="00C956A9">
      <w:pPr>
        <w:rPr>
          <w:rFonts w:ascii="Arial" w:hAnsi="Arial" w:cs="Arial"/>
          <w:sz w:val="24"/>
          <w:szCs w:val="24"/>
        </w:rPr>
      </w:pPr>
      <w:r w:rsidRPr="009C67A2">
        <w:rPr>
          <w:rFonts w:ascii="Arial" w:hAnsi="Arial" w:cs="Arial"/>
          <w:sz w:val="24"/>
          <w:szCs w:val="24"/>
        </w:rPr>
        <w:t>COSO Internal Control – Integrated Framework (2013) and Compendium (You will be given access information from the instructor)</w:t>
      </w:r>
    </w:p>
    <w:p w14:paraId="6BCD0895" w14:textId="77777777" w:rsidR="00C956A9" w:rsidRDefault="00C956A9" w:rsidP="00F62048">
      <w:pPr>
        <w:rPr>
          <w:rFonts w:ascii="Arial" w:eastAsia="新細明體" w:hAnsi="Arial" w:cs="Arial"/>
          <w:sz w:val="24"/>
          <w:szCs w:val="24"/>
          <w:lang w:eastAsia="zh-TW"/>
        </w:rPr>
      </w:pPr>
    </w:p>
    <w:p w14:paraId="2CE361BD" w14:textId="5C201520" w:rsidR="00C956A9" w:rsidRPr="009C67A2" w:rsidRDefault="009C67A2" w:rsidP="00F62048">
      <w:pPr>
        <w:rPr>
          <w:rFonts w:ascii="Arial" w:eastAsia="新細明體" w:hAnsi="Arial" w:cs="Arial"/>
          <w:sz w:val="24"/>
          <w:szCs w:val="24"/>
          <w:lang w:eastAsia="zh-TW"/>
        </w:rPr>
      </w:pPr>
      <w:r>
        <w:rPr>
          <w:rFonts w:ascii="Arial" w:eastAsia="新細明體" w:hAnsi="Arial" w:cs="Arial"/>
          <w:sz w:val="24"/>
          <w:szCs w:val="24"/>
          <w:lang w:eastAsia="zh-TW"/>
        </w:rPr>
        <w:t xml:space="preserve">Optional: </w:t>
      </w:r>
    </w:p>
    <w:p w14:paraId="7D26D906" w14:textId="4695EAE9" w:rsidR="001157B7" w:rsidRDefault="00F62048" w:rsidP="009C67A2">
      <w:pPr>
        <w:rPr>
          <w:rFonts w:ascii="Arial" w:eastAsia="新細明體" w:hAnsi="Arial" w:cs="Arial"/>
          <w:sz w:val="24"/>
          <w:szCs w:val="24"/>
          <w:lang w:eastAsia="zh-TW"/>
        </w:rPr>
      </w:pPr>
      <w:r w:rsidRPr="00F62048">
        <w:rPr>
          <w:rFonts w:ascii="Arial" w:eastAsia="新細明體" w:hAnsi="Arial" w:cs="Arial"/>
          <w:sz w:val="24"/>
          <w:szCs w:val="24"/>
          <w:lang w:eastAsia="zh-TW"/>
        </w:rPr>
        <w:t xml:space="preserve">K </w:t>
      </w:r>
      <w:proofErr w:type="spellStart"/>
      <w:r w:rsidRPr="00F62048">
        <w:rPr>
          <w:rFonts w:ascii="Arial" w:eastAsia="新細明體" w:hAnsi="Arial" w:cs="Arial"/>
          <w:sz w:val="24"/>
          <w:szCs w:val="24"/>
          <w:lang w:eastAsia="zh-TW"/>
        </w:rPr>
        <w:t>Reding</w:t>
      </w:r>
      <w:proofErr w:type="spellEnd"/>
      <w:r w:rsidRPr="00F62048">
        <w:rPr>
          <w:rFonts w:ascii="Arial" w:eastAsia="新細明體" w:hAnsi="Arial" w:cs="Arial"/>
          <w:sz w:val="24"/>
          <w:szCs w:val="24"/>
          <w:lang w:eastAsia="zh-TW"/>
        </w:rPr>
        <w:t xml:space="preserve">, P. Sobel, U. Anderson, M. Head, S. Ramamoorti, M. </w:t>
      </w:r>
      <w:proofErr w:type="spellStart"/>
      <w:r w:rsidRPr="00F62048">
        <w:rPr>
          <w:rFonts w:ascii="Arial" w:eastAsia="新細明體" w:hAnsi="Arial" w:cs="Arial"/>
          <w:sz w:val="24"/>
          <w:szCs w:val="24"/>
          <w:lang w:eastAsia="zh-TW"/>
        </w:rPr>
        <w:t>Salamasick</w:t>
      </w:r>
      <w:proofErr w:type="spellEnd"/>
      <w:r w:rsidRPr="00F62048">
        <w:rPr>
          <w:rFonts w:ascii="Arial" w:eastAsia="新細明體" w:hAnsi="Arial" w:cs="Arial"/>
          <w:sz w:val="24"/>
          <w:szCs w:val="24"/>
          <w:lang w:eastAsia="zh-TW"/>
        </w:rPr>
        <w:t xml:space="preserve">, and C. Shreve, </w:t>
      </w:r>
      <w:r w:rsidRPr="00F62048">
        <w:rPr>
          <w:rFonts w:ascii="Arial" w:eastAsia="新細明體" w:hAnsi="Arial" w:cs="Arial"/>
          <w:i/>
          <w:sz w:val="24"/>
          <w:szCs w:val="24"/>
          <w:lang w:eastAsia="zh-TW"/>
        </w:rPr>
        <w:t>Internal Auditing: Assurance, and Advisory Services</w:t>
      </w:r>
      <w:r w:rsidRPr="00F62048">
        <w:rPr>
          <w:rFonts w:ascii="Arial" w:eastAsia="新細明體" w:hAnsi="Arial" w:cs="Arial"/>
          <w:sz w:val="24"/>
          <w:szCs w:val="24"/>
          <w:lang w:eastAsia="zh-TW"/>
        </w:rPr>
        <w:t>, 3</w:t>
      </w:r>
      <w:r w:rsidRPr="00F62048">
        <w:rPr>
          <w:rFonts w:ascii="Arial" w:eastAsia="新細明體" w:hAnsi="Arial" w:cs="Arial"/>
          <w:sz w:val="24"/>
          <w:szCs w:val="24"/>
          <w:vertAlign w:val="superscript"/>
          <w:lang w:eastAsia="zh-TW"/>
        </w:rPr>
        <w:t>rd</w:t>
      </w:r>
      <w:r w:rsidRPr="00F62048">
        <w:rPr>
          <w:rFonts w:ascii="Arial" w:eastAsia="新細明體" w:hAnsi="Arial" w:cs="Arial"/>
          <w:sz w:val="24"/>
          <w:szCs w:val="24"/>
          <w:lang w:eastAsia="zh-TW"/>
        </w:rPr>
        <w:t xml:space="preserve"> Edition, The Institute of Internal Auditors, 2013</w:t>
      </w:r>
      <w:r>
        <w:rPr>
          <w:rFonts w:ascii="Arial" w:eastAsia="新細明體" w:hAnsi="Arial" w:cs="Arial"/>
          <w:sz w:val="24"/>
          <w:szCs w:val="24"/>
          <w:lang w:eastAsia="zh-TW"/>
        </w:rPr>
        <w:t xml:space="preserve"> (</w:t>
      </w:r>
      <w:r w:rsidR="009C67A2">
        <w:rPr>
          <w:rFonts w:ascii="Arial" w:eastAsia="新細明體" w:hAnsi="Arial" w:cs="Arial"/>
          <w:sz w:val="24"/>
          <w:szCs w:val="24"/>
          <w:lang w:eastAsia="zh-TW"/>
        </w:rPr>
        <w:t xml:space="preserve">If interested, </w:t>
      </w:r>
      <w:r w:rsidR="002B5303">
        <w:rPr>
          <w:rFonts w:ascii="Arial" w:eastAsia="新細明體" w:hAnsi="Arial" w:cs="Arial"/>
          <w:sz w:val="24"/>
          <w:szCs w:val="24"/>
          <w:lang w:eastAsia="zh-TW"/>
        </w:rPr>
        <w:t>y</w:t>
      </w:r>
      <w:r>
        <w:rPr>
          <w:rFonts w:ascii="Arial" w:eastAsia="新細明體" w:hAnsi="Arial" w:cs="Arial"/>
          <w:sz w:val="24"/>
          <w:szCs w:val="24"/>
          <w:lang w:eastAsia="zh-TW"/>
        </w:rPr>
        <w:t>ou will be given an authorization code by the instructor</w:t>
      </w:r>
      <w:r w:rsidR="001157B7">
        <w:rPr>
          <w:rFonts w:ascii="Arial" w:eastAsia="新細明體" w:hAnsi="Arial" w:cs="Arial"/>
          <w:sz w:val="24"/>
          <w:szCs w:val="24"/>
          <w:lang w:eastAsia="zh-TW"/>
        </w:rPr>
        <w:t xml:space="preserve"> to purchase an E-Book from the publisher at a substantial discount authorized only for NTU student</w:t>
      </w:r>
      <w:r w:rsidR="00EF3E9C">
        <w:rPr>
          <w:rFonts w:ascii="Arial" w:eastAsia="新細明體" w:hAnsi="Arial" w:cs="Arial"/>
          <w:sz w:val="24"/>
          <w:szCs w:val="24"/>
          <w:lang w:eastAsia="zh-TW"/>
        </w:rPr>
        <w:t>s</w:t>
      </w:r>
      <w:r w:rsidR="001157B7">
        <w:rPr>
          <w:rFonts w:ascii="Arial" w:eastAsia="新細明體" w:hAnsi="Arial" w:cs="Arial"/>
          <w:sz w:val="24"/>
          <w:szCs w:val="24"/>
          <w:lang w:eastAsia="zh-TW"/>
        </w:rPr>
        <w:t>).</w:t>
      </w:r>
    </w:p>
    <w:p w14:paraId="55B96FBB" w14:textId="77777777" w:rsidR="009C67A2" w:rsidRPr="009C67A2" w:rsidRDefault="009C67A2" w:rsidP="009C67A2">
      <w:pPr>
        <w:rPr>
          <w:sz w:val="24"/>
          <w:szCs w:val="24"/>
          <w:lang w:eastAsia="zh-TW"/>
        </w:rPr>
      </w:pPr>
    </w:p>
    <w:p w14:paraId="388CDF97" w14:textId="50F7EF4D" w:rsidR="00C56DCE" w:rsidRPr="009C67A2" w:rsidRDefault="00C56DCE" w:rsidP="009C67A2">
      <w:pPr>
        <w:rPr>
          <w:rFonts w:ascii="Arial" w:hAnsi="Arial"/>
          <w:sz w:val="24"/>
          <w:szCs w:val="24"/>
          <w:lang w:eastAsia="zh-CN"/>
        </w:rPr>
      </w:pPr>
      <w:r w:rsidRPr="009C67A2">
        <w:rPr>
          <w:rFonts w:ascii="Arial" w:hAnsi="Arial" w:hint="eastAsia"/>
          <w:sz w:val="24"/>
          <w:szCs w:val="24"/>
          <w:lang w:eastAsia="zh-CN"/>
        </w:rPr>
        <w:t xml:space="preserve">You will </w:t>
      </w:r>
      <w:r w:rsidR="009C67A2" w:rsidRPr="009C67A2">
        <w:rPr>
          <w:rFonts w:ascii="Arial" w:hAnsi="Arial"/>
          <w:sz w:val="24"/>
          <w:szCs w:val="24"/>
          <w:lang w:eastAsia="zh-CN"/>
        </w:rPr>
        <w:t xml:space="preserve">also </w:t>
      </w:r>
      <w:r w:rsidRPr="009C67A2">
        <w:rPr>
          <w:rFonts w:ascii="Arial" w:hAnsi="Arial" w:hint="eastAsia"/>
          <w:sz w:val="24"/>
          <w:szCs w:val="24"/>
          <w:lang w:eastAsia="zh-CN"/>
        </w:rPr>
        <w:t xml:space="preserve">need to do extensive on line research on related topics.  Various reading materials or assignments will be provided throughout the courses.  Sharing of reference materials are strongly encouraged among classmates for preparation purposes, </w:t>
      </w:r>
      <w:r w:rsidR="00390372" w:rsidRPr="009C67A2">
        <w:rPr>
          <w:rFonts w:ascii="Arial" w:hAnsi="Arial" w:hint="eastAsia"/>
          <w:sz w:val="24"/>
          <w:szCs w:val="24"/>
          <w:lang w:eastAsia="zh-CN"/>
        </w:rPr>
        <w:t>with intellectual property rights respected at the highest level possible.</w:t>
      </w:r>
    </w:p>
    <w:p w14:paraId="0F6A69B1" w14:textId="77777777" w:rsidR="00C56DCE" w:rsidRDefault="00C56DCE" w:rsidP="006E29D9">
      <w:pPr>
        <w:keepLines/>
        <w:spacing w:line="240" w:lineRule="exact"/>
        <w:jc w:val="both"/>
        <w:rPr>
          <w:rFonts w:ascii="Arial" w:hAnsi="Arial"/>
          <w:b/>
          <w:sz w:val="24"/>
          <w:lang w:eastAsia="zh-CN"/>
        </w:rPr>
      </w:pPr>
    </w:p>
    <w:p w14:paraId="5C234895" w14:textId="4C09F6B0" w:rsidR="009C67A2" w:rsidRDefault="006E29D9" w:rsidP="006E29D9">
      <w:pPr>
        <w:keepLines/>
        <w:spacing w:line="240" w:lineRule="exact"/>
        <w:jc w:val="both"/>
        <w:rPr>
          <w:rFonts w:ascii="Arial" w:hAnsi="Arial"/>
          <w:b/>
          <w:sz w:val="24"/>
        </w:rPr>
      </w:pPr>
      <w:r>
        <w:rPr>
          <w:rFonts w:ascii="Arial" w:hAnsi="Arial"/>
          <w:b/>
          <w:sz w:val="24"/>
        </w:rPr>
        <w:t>COURSE OBJECTIVES</w:t>
      </w:r>
    </w:p>
    <w:p w14:paraId="67716564" w14:textId="56BBE736" w:rsidR="006E29D9" w:rsidRDefault="006E29D9" w:rsidP="00EF3E9C">
      <w:pPr>
        <w:pStyle w:val="a8"/>
        <w:ind w:firstLine="720"/>
      </w:pPr>
      <w:r>
        <w:t>This course i</w:t>
      </w:r>
      <w:r w:rsidR="00390372">
        <w:t xml:space="preserve">s designed for students who </w:t>
      </w:r>
      <w:r w:rsidR="00390372">
        <w:rPr>
          <w:rFonts w:hint="eastAsia"/>
          <w:lang w:eastAsia="zh-CN"/>
        </w:rPr>
        <w:t>have interest in</w:t>
      </w:r>
      <w:r>
        <w:t xml:space="preserve"> careers in the accounting and finance functions of corporations or government entities or in the consulting/risk management/internal audit service</w:t>
      </w:r>
      <w:r w:rsidR="00390372">
        <w:t xml:space="preserve">s side of public accounting </w:t>
      </w:r>
      <w:r w:rsidR="00390372">
        <w:rPr>
          <w:rFonts w:hint="eastAsia"/>
          <w:lang w:eastAsia="zh-CN"/>
        </w:rPr>
        <w:t>firms</w:t>
      </w:r>
      <w:r>
        <w:t>.  The purpose of the course i</w:t>
      </w:r>
      <w:r w:rsidR="009C67A2">
        <w:t>s to introduce the student</w:t>
      </w:r>
      <w:r w:rsidR="00FC75E9">
        <w:t>s</w:t>
      </w:r>
      <w:r w:rsidR="009C67A2">
        <w:t xml:space="preserve"> to control and risk management</w:t>
      </w:r>
      <w:r>
        <w:t xml:space="preserve"> in today's organizations, a scope that extends beyond far the traditional attestation of the financial statements.  Its objectives</w:t>
      </w:r>
      <w:r w:rsidR="00FC75E9">
        <w:t xml:space="preserve"> are to provide</w:t>
      </w:r>
      <w:r w:rsidR="00DA106C">
        <w:t xml:space="preserve"> you</w:t>
      </w:r>
      <w:r>
        <w:t>:</w:t>
      </w:r>
    </w:p>
    <w:p w14:paraId="044B9854" w14:textId="77777777" w:rsidR="006E29D9" w:rsidRDefault="006E29D9" w:rsidP="006E29D9">
      <w:pPr>
        <w:spacing w:line="240" w:lineRule="exact"/>
        <w:jc w:val="both"/>
        <w:rPr>
          <w:rFonts w:ascii="Arial" w:hAnsi="Arial"/>
          <w:sz w:val="24"/>
        </w:rPr>
      </w:pPr>
    </w:p>
    <w:p w14:paraId="027608D4" w14:textId="53E78CBD" w:rsidR="00A959E1" w:rsidRPr="00A959E1" w:rsidRDefault="00A959E1" w:rsidP="009C67A2">
      <w:pPr>
        <w:widowControl w:val="0"/>
        <w:numPr>
          <w:ilvl w:val="0"/>
          <w:numId w:val="43"/>
        </w:numPr>
        <w:tabs>
          <w:tab w:val="left" w:pos="-720"/>
        </w:tabs>
        <w:suppressAutoHyphens/>
        <w:spacing w:before="20" w:after="20"/>
        <w:rPr>
          <w:rFonts w:ascii="Arial" w:hAnsi="Arial" w:cs="Arial"/>
          <w:snapToGrid w:val="0"/>
          <w:spacing w:val="-3"/>
          <w:sz w:val="24"/>
          <w:szCs w:val="24"/>
          <w:lang w:bidi="ar-SA"/>
        </w:rPr>
      </w:pPr>
      <w:r w:rsidRPr="00A959E1">
        <w:rPr>
          <w:rFonts w:ascii="Arial" w:hAnsi="Arial" w:cs="Arial"/>
          <w:snapToGrid w:val="0"/>
          <w:spacing w:val="-3"/>
          <w:sz w:val="24"/>
          <w:szCs w:val="24"/>
          <w:lang w:bidi="ar-SA"/>
        </w:rPr>
        <w:t>An in-depth understanding on internal control framework</w:t>
      </w:r>
    </w:p>
    <w:p w14:paraId="320560A2" w14:textId="01A1EED1" w:rsidR="00A959E1" w:rsidRDefault="00DA106C" w:rsidP="009C67A2">
      <w:pPr>
        <w:widowControl w:val="0"/>
        <w:numPr>
          <w:ilvl w:val="0"/>
          <w:numId w:val="43"/>
        </w:numPr>
        <w:tabs>
          <w:tab w:val="left" w:pos="-720"/>
        </w:tabs>
        <w:suppressAutoHyphens/>
        <w:spacing w:before="20" w:after="20"/>
        <w:rPr>
          <w:rFonts w:ascii="Arial" w:hAnsi="Arial" w:cs="Arial"/>
          <w:snapToGrid w:val="0"/>
          <w:spacing w:val="-3"/>
          <w:sz w:val="24"/>
          <w:szCs w:val="24"/>
          <w:lang w:bidi="ar-SA"/>
        </w:rPr>
      </w:pPr>
      <w:r>
        <w:rPr>
          <w:rFonts w:ascii="Arial" w:hAnsi="Arial" w:cs="Arial"/>
          <w:snapToGrid w:val="0"/>
          <w:spacing w:val="-3"/>
          <w:sz w:val="24"/>
          <w:szCs w:val="24"/>
          <w:lang w:bidi="ar-SA"/>
        </w:rPr>
        <w:t>A clear overview</w:t>
      </w:r>
      <w:r w:rsidR="00A959E1" w:rsidRPr="00A959E1">
        <w:rPr>
          <w:rFonts w:ascii="Arial" w:hAnsi="Arial" w:cs="Arial"/>
          <w:snapToGrid w:val="0"/>
          <w:spacing w:val="-3"/>
          <w:sz w:val="24"/>
          <w:szCs w:val="24"/>
          <w:lang w:bidi="ar-SA"/>
        </w:rPr>
        <w:t xml:space="preserve"> of how audit/compliance functions operate within today’s business and government/non-profit organizations</w:t>
      </w:r>
    </w:p>
    <w:p w14:paraId="3C53867E" w14:textId="04ED15E8" w:rsidR="00FC75E9" w:rsidRPr="00A959E1" w:rsidRDefault="00FC75E9" w:rsidP="00FC75E9">
      <w:pPr>
        <w:widowControl w:val="0"/>
        <w:tabs>
          <w:tab w:val="left" w:pos="-720"/>
        </w:tabs>
        <w:suppressAutoHyphens/>
        <w:spacing w:before="20" w:after="20"/>
        <w:ind w:leftChars="140" w:left="280"/>
        <w:rPr>
          <w:rFonts w:ascii="Arial" w:hAnsi="Arial" w:cs="Arial"/>
          <w:snapToGrid w:val="0"/>
          <w:spacing w:val="-3"/>
          <w:sz w:val="24"/>
          <w:szCs w:val="24"/>
          <w:lang w:bidi="ar-SA"/>
        </w:rPr>
      </w:pPr>
      <w:r>
        <w:rPr>
          <w:rFonts w:ascii="Arial" w:hAnsi="Arial" w:cs="Arial"/>
          <w:snapToGrid w:val="0"/>
          <w:spacing w:val="-3"/>
          <w:sz w:val="24"/>
          <w:szCs w:val="24"/>
          <w:lang w:bidi="ar-SA"/>
        </w:rPr>
        <w:t>And to introduce you:</w:t>
      </w:r>
    </w:p>
    <w:p w14:paraId="467C863B" w14:textId="784DE3E1" w:rsidR="009C67A2" w:rsidRPr="009C67A2" w:rsidRDefault="009C67A2" w:rsidP="009C67A2">
      <w:pPr>
        <w:widowControl w:val="0"/>
        <w:numPr>
          <w:ilvl w:val="0"/>
          <w:numId w:val="43"/>
        </w:numPr>
        <w:tabs>
          <w:tab w:val="left" w:pos="-720"/>
        </w:tabs>
        <w:suppressAutoHyphens/>
        <w:spacing w:before="20" w:after="20"/>
        <w:rPr>
          <w:rFonts w:ascii="Arial" w:hAnsi="Arial" w:cs="Arial"/>
          <w:snapToGrid w:val="0"/>
          <w:spacing w:val="-3"/>
          <w:sz w:val="24"/>
          <w:szCs w:val="24"/>
          <w:lang w:bidi="ar-SA"/>
        </w:rPr>
      </w:pPr>
      <w:r w:rsidRPr="009C67A2">
        <w:rPr>
          <w:rFonts w:ascii="Arial" w:hAnsi="Arial" w:cs="Arial"/>
          <w:snapToGrid w:val="0"/>
          <w:spacing w:val="-3"/>
          <w:sz w:val="24"/>
          <w:szCs w:val="24"/>
          <w:lang w:bidi="ar-SA"/>
        </w:rPr>
        <w:t>En</w:t>
      </w:r>
      <w:r w:rsidR="00A959E1" w:rsidRPr="00A959E1">
        <w:rPr>
          <w:rFonts w:ascii="Arial" w:hAnsi="Arial" w:cs="Arial"/>
          <w:snapToGrid w:val="0"/>
          <w:spacing w:val="-3"/>
          <w:sz w:val="24"/>
          <w:szCs w:val="24"/>
          <w:lang w:bidi="ar-SA"/>
        </w:rPr>
        <w:t>terprise Risk Management (ERM) as an</w:t>
      </w:r>
      <w:r w:rsidRPr="009C67A2">
        <w:rPr>
          <w:rFonts w:ascii="Arial" w:hAnsi="Arial" w:cs="Arial"/>
          <w:snapToGrid w:val="0"/>
          <w:spacing w:val="-3"/>
          <w:sz w:val="24"/>
          <w:szCs w:val="24"/>
          <w:lang w:bidi="ar-SA"/>
        </w:rPr>
        <w:t xml:space="preserve"> approach to managing the risks that can prevent an organization from achieving its objectives, both financial and nonfinancial.</w:t>
      </w:r>
    </w:p>
    <w:p w14:paraId="32365934" w14:textId="77777777" w:rsidR="009C67A2" w:rsidRPr="009C67A2" w:rsidRDefault="009C67A2" w:rsidP="009C67A2">
      <w:pPr>
        <w:widowControl w:val="0"/>
        <w:numPr>
          <w:ilvl w:val="0"/>
          <w:numId w:val="43"/>
        </w:numPr>
        <w:tabs>
          <w:tab w:val="left" w:pos="-720"/>
        </w:tabs>
        <w:suppressAutoHyphens/>
        <w:spacing w:before="20" w:after="20"/>
        <w:rPr>
          <w:rFonts w:ascii="Arial" w:hAnsi="Arial" w:cs="Arial"/>
          <w:snapToGrid w:val="0"/>
          <w:spacing w:val="-3"/>
          <w:sz w:val="24"/>
          <w:szCs w:val="24"/>
          <w:lang w:bidi="ar-SA"/>
        </w:rPr>
      </w:pPr>
      <w:r w:rsidRPr="009C67A2">
        <w:rPr>
          <w:rFonts w:ascii="Arial" w:hAnsi="Arial" w:cs="Arial"/>
          <w:snapToGrid w:val="0"/>
          <w:spacing w:val="-3"/>
          <w:sz w:val="24"/>
          <w:szCs w:val="24"/>
          <w:lang w:bidi="ar-SA"/>
        </w:rPr>
        <w:t>Core elements of an effective ERM process.</w:t>
      </w:r>
    </w:p>
    <w:p w14:paraId="6A08FC93" w14:textId="77777777" w:rsidR="009C67A2" w:rsidRPr="009C67A2" w:rsidRDefault="009C67A2" w:rsidP="009C67A2">
      <w:pPr>
        <w:widowControl w:val="0"/>
        <w:numPr>
          <w:ilvl w:val="0"/>
          <w:numId w:val="43"/>
        </w:numPr>
        <w:tabs>
          <w:tab w:val="left" w:pos="-720"/>
        </w:tabs>
        <w:suppressAutoHyphens/>
        <w:spacing w:before="20" w:after="20"/>
        <w:rPr>
          <w:rFonts w:ascii="Arial" w:hAnsi="Arial" w:cs="Arial"/>
          <w:snapToGrid w:val="0"/>
          <w:spacing w:val="-3"/>
          <w:sz w:val="24"/>
          <w:szCs w:val="24"/>
          <w:lang w:bidi="ar-SA"/>
        </w:rPr>
      </w:pPr>
      <w:r w:rsidRPr="009C67A2">
        <w:rPr>
          <w:rFonts w:ascii="Arial" w:hAnsi="Arial" w:cs="Arial"/>
          <w:snapToGrid w:val="0"/>
          <w:spacing w:val="-3"/>
          <w:sz w:val="24"/>
          <w:szCs w:val="24"/>
          <w:lang w:bidi="ar-SA"/>
        </w:rPr>
        <w:t>Connections of risk oversight and strategy.</w:t>
      </w:r>
    </w:p>
    <w:p w14:paraId="75CE87B0" w14:textId="77777777" w:rsidR="009C67A2" w:rsidRPr="009C67A2" w:rsidRDefault="009C67A2" w:rsidP="009C67A2">
      <w:pPr>
        <w:widowControl w:val="0"/>
        <w:numPr>
          <w:ilvl w:val="0"/>
          <w:numId w:val="43"/>
        </w:numPr>
        <w:tabs>
          <w:tab w:val="left" w:pos="-720"/>
        </w:tabs>
        <w:suppressAutoHyphens/>
        <w:spacing w:before="20" w:after="20"/>
        <w:rPr>
          <w:rFonts w:ascii="Arial" w:hAnsi="Arial" w:cs="Arial"/>
          <w:snapToGrid w:val="0"/>
          <w:spacing w:val="-3"/>
          <w:sz w:val="24"/>
          <w:szCs w:val="24"/>
          <w:lang w:bidi="ar-SA"/>
        </w:rPr>
      </w:pPr>
      <w:r w:rsidRPr="009C67A2">
        <w:rPr>
          <w:rFonts w:ascii="Arial" w:hAnsi="Arial" w:cs="Arial"/>
          <w:snapToGrid w:val="0"/>
          <w:spacing w:val="-3"/>
          <w:sz w:val="24"/>
          <w:szCs w:val="24"/>
          <w:lang w:bidi="ar-SA"/>
        </w:rPr>
        <w:t>Relationship of ERM to traditional risk management activities.</w:t>
      </w:r>
    </w:p>
    <w:p w14:paraId="0F38678C" w14:textId="77777777" w:rsidR="009C67A2" w:rsidRPr="009C67A2" w:rsidRDefault="009C67A2" w:rsidP="009C67A2">
      <w:pPr>
        <w:widowControl w:val="0"/>
        <w:numPr>
          <w:ilvl w:val="0"/>
          <w:numId w:val="43"/>
        </w:numPr>
        <w:tabs>
          <w:tab w:val="left" w:pos="-720"/>
        </w:tabs>
        <w:suppressAutoHyphens/>
        <w:spacing w:before="20" w:after="20"/>
        <w:rPr>
          <w:rFonts w:ascii="Arial" w:hAnsi="Arial" w:cs="Arial"/>
          <w:snapToGrid w:val="0"/>
          <w:spacing w:val="-3"/>
          <w:sz w:val="24"/>
          <w:szCs w:val="24"/>
          <w:lang w:bidi="ar-SA"/>
        </w:rPr>
      </w:pPr>
      <w:r w:rsidRPr="009C67A2">
        <w:rPr>
          <w:rFonts w:ascii="Arial" w:hAnsi="Arial" w:cs="Arial"/>
          <w:snapToGrid w:val="0"/>
          <w:spacing w:val="-3"/>
          <w:sz w:val="24"/>
          <w:szCs w:val="24"/>
          <w:lang w:bidi="ar-SA"/>
        </w:rPr>
        <w:t>Practical methods for developing a top-down enterprise wide view of risk oversight.</w:t>
      </w:r>
    </w:p>
    <w:p w14:paraId="01E91C09" w14:textId="77777777" w:rsidR="009C67A2" w:rsidRPr="009C67A2" w:rsidRDefault="009C67A2" w:rsidP="009C67A2">
      <w:pPr>
        <w:widowControl w:val="0"/>
        <w:numPr>
          <w:ilvl w:val="0"/>
          <w:numId w:val="43"/>
        </w:numPr>
        <w:tabs>
          <w:tab w:val="left" w:pos="-720"/>
        </w:tabs>
        <w:suppressAutoHyphens/>
        <w:spacing w:before="20" w:after="20"/>
        <w:rPr>
          <w:rFonts w:ascii="Arial" w:hAnsi="Arial" w:cs="Arial"/>
          <w:snapToGrid w:val="0"/>
          <w:spacing w:val="-3"/>
          <w:sz w:val="24"/>
          <w:szCs w:val="24"/>
          <w:lang w:bidi="ar-SA"/>
        </w:rPr>
      </w:pPr>
      <w:r w:rsidRPr="009C67A2">
        <w:rPr>
          <w:rFonts w:ascii="Arial" w:hAnsi="Arial" w:cs="Arial"/>
          <w:snapToGrid w:val="0"/>
          <w:spacing w:val="-3"/>
          <w:sz w:val="24"/>
          <w:szCs w:val="24"/>
          <w:lang w:bidi="ar-SA"/>
        </w:rPr>
        <w:t>Corporate governance requirements related to risk oversight.</w:t>
      </w:r>
    </w:p>
    <w:p w14:paraId="66E54542" w14:textId="77777777" w:rsidR="009C67A2" w:rsidRPr="009C67A2" w:rsidRDefault="009C67A2" w:rsidP="009C67A2">
      <w:pPr>
        <w:tabs>
          <w:tab w:val="left" w:pos="-720"/>
        </w:tabs>
        <w:suppressAutoHyphens/>
        <w:spacing w:before="20" w:after="20"/>
        <w:ind w:left="720"/>
        <w:rPr>
          <w:rFonts w:ascii="CG Times" w:hAnsi="CG Times" w:hint="eastAsia"/>
          <w:snapToGrid w:val="0"/>
          <w:spacing w:val="-3"/>
          <w:sz w:val="22"/>
          <w:lang w:bidi="ar-SA"/>
        </w:rPr>
      </w:pPr>
    </w:p>
    <w:p w14:paraId="27FDCA75" w14:textId="77777777" w:rsidR="006E29D9" w:rsidRDefault="006E29D9" w:rsidP="006E29D9">
      <w:pPr>
        <w:spacing w:line="240" w:lineRule="exact"/>
        <w:rPr>
          <w:rFonts w:ascii="Arial" w:hAnsi="Arial"/>
          <w:sz w:val="24"/>
        </w:rPr>
      </w:pPr>
    </w:p>
    <w:p w14:paraId="4E4CAA44" w14:textId="77777777" w:rsidR="006E29D9" w:rsidRDefault="006E29D9" w:rsidP="006E29D9">
      <w:pPr>
        <w:keepLines/>
        <w:spacing w:line="240" w:lineRule="exact"/>
        <w:rPr>
          <w:rFonts w:ascii="Arial" w:hAnsi="Arial"/>
          <w:b/>
          <w:sz w:val="24"/>
        </w:rPr>
      </w:pPr>
      <w:r>
        <w:rPr>
          <w:rFonts w:ascii="Arial" w:hAnsi="Arial"/>
          <w:b/>
          <w:sz w:val="24"/>
        </w:rPr>
        <w:t>EXAMINATIONS AND GRADING</w:t>
      </w:r>
    </w:p>
    <w:p w14:paraId="4AFFBC04" w14:textId="77777777" w:rsidR="006E29D9" w:rsidRDefault="006E29D9" w:rsidP="006E29D9">
      <w:pPr>
        <w:tabs>
          <w:tab w:val="left" w:pos="1440"/>
          <w:tab w:val="left" w:pos="5760"/>
          <w:tab w:val="right" w:pos="6480"/>
        </w:tabs>
        <w:spacing w:line="240" w:lineRule="exact"/>
        <w:jc w:val="both"/>
        <w:rPr>
          <w:rFonts w:ascii="Arial" w:hAnsi="Arial"/>
          <w:sz w:val="24"/>
        </w:rPr>
      </w:pPr>
      <w:r>
        <w:rPr>
          <w:rFonts w:ascii="Arial" w:hAnsi="Arial"/>
          <w:sz w:val="24"/>
        </w:rPr>
        <w:tab/>
      </w:r>
      <w:r>
        <w:rPr>
          <w:rFonts w:ascii="Arial" w:hAnsi="Arial"/>
          <w:sz w:val="24"/>
        </w:rPr>
        <w:tab/>
      </w:r>
      <w:r>
        <w:rPr>
          <w:rFonts w:ascii="Arial" w:hAnsi="Arial"/>
          <w:b/>
          <w:sz w:val="24"/>
          <w:u w:val="single"/>
        </w:rPr>
        <w:t>POINTS</w:t>
      </w:r>
    </w:p>
    <w:p w14:paraId="05A8CF4B" w14:textId="1E8C74D7" w:rsidR="006E29D9" w:rsidRDefault="00390372" w:rsidP="00BD13CF">
      <w:pPr>
        <w:tabs>
          <w:tab w:val="left" w:pos="1440"/>
          <w:tab w:val="left" w:pos="5520"/>
          <w:tab w:val="right" w:pos="6480"/>
        </w:tabs>
        <w:spacing w:line="240" w:lineRule="exact"/>
        <w:jc w:val="both"/>
        <w:rPr>
          <w:rFonts w:ascii="Arial" w:hAnsi="Arial"/>
          <w:sz w:val="24"/>
          <w:lang w:eastAsia="zh-CN"/>
        </w:rPr>
      </w:pPr>
      <w:r>
        <w:rPr>
          <w:rFonts w:ascii="Arial" w:hAnsi="Arial"/>
          <w:sz w:val="24"/>
        </w:rPr>
        <w:tab/>
        <w:t xml:space="preserve">Exam </w:t>
      </w:r>
      <w:r>
        <w:rPr>
          <w:rFonts w:ascii="Arial" w:hAnsi="Arial" w:hint="eastAsia"/>
          <w:sz w:val="24"/>
          <w:lang w:eastAsia="zh-CN"/>
        </w:rPr>
        <w:t>&amp; Quizzes</w:t>
      </w:r>
      <w:r>
        <w:rPr>
          <w:rFonts w:ascii="Arial" w:hAnsi="Arial"/>
          <w:sz w:val="24"/>
        </w:rPr>
        <w:tab/>
      </w:r>
      <w:r w:rsidR="00BD13CF">
        <w:rPr>
          <w:rFonts w:ascii="Arial" w:hAnsi="Arial"/>
          <w:sz w:val="24"/>
          <w:lang w:eastAsia="zh-CN"/>
        </w:rPr>
        <w:tab/>
      </w:r>
      <w:r>
        <w:rPr>
          <w:rFonts w:ascii="Arial" w:hAnsi="Arial" w:hint="eastAsia"/>
          <w:sz w:val="24"/>
          <w:lang w:eastAsia="zh-CN"/>
        </w:rPr>
        <w:t>400</w:t>
      </w:r>
    </w:p>
    <w:p w14:paraId="382536C1" w14:textId="0D6B1AAD" w:rsidR="006E29D9" w:rsidRPr="00BD13CF" w:rsidRDefault="00390372" w:rsidP="00BD13CF">
      <w:pPr>
        <w:tabs>
          <w:tab w:val="left" w:pos="1440"/>
          <w:tab w:val="left" w:pos="5640"/>
          <w:tab w:val="right" w:pos="6480"/>
        </w:tabs>
        <w:spacing w:line="240" w:lineRule="exact"/>
        <w:jc w:val="both"/>
        <w:rPr>
          <w:rFonts w:ascii="Arial" w:hAnsi="Arial"/>
          <w:sz w:val="24"/>
          <w:u w:val="single"/>
        </w:rPr>
      </w:pPr>
      <w:r>
        <w:rPr>
          <w:rFonts w:ascii="Arial" w:hAnsi="Arial"/>
          <w:sz w:val="24"/>
        </w:rPr>
        <w:tab/>
      </w:r>
      <w:r>
        <w:rPr>
          <w:rFonts w:ascii="Arial" w:hAnsi="Arial" w:hint="eastAsia"/>
          <w:sz w:val="24"/>
          <w:lang w:eastAsia="zh-CN"/>
        </w:rPr>
        <w:t>Project/Presentation</w:t>
      </w:r>
      <w:r w:rsidR="006E29D9">
        <w:rPr>
          <w:rFonts w:ascii="Arial" w:hAnsi="Arial"/>
          <w:sz w:val="24"/>
        </w:rPr>
        <w:tab/>
      </w:r>
      <w:r w:rsidR="00BD13CF">
        <w:rPr>
          <w:rFonts w:ascii="Arial" w:hAnsi="Arial"/>
          <w:sz w:val="24"/>
        </w:rPr>
        <w:tab/>
      </w:r>
      <w:r w:rsidR="00BD13CF">
        <w:rPr>
          <w:rFonts w:ascii="Arial" w:hAnsi="Arial"/>
          <w:sz w:val="24"/>
          <w:u w:val="single"/>
        </w:rPr>
        <w:t>100</w:t>
      </w:r>
    </w:p>
    <w:p w14:paraId="06B26109" w14:textId="304F7C2D" w:rsidR="006E29D9" w:rsidRDefault="006E29D9" w:rsidP="006E29D9">
      <w:pPr>
        <w:tabs>
          <w:tab w:val="left" w:pos="1440"/>
          <w:tab w:val="left" w:pos="5760"/>
          <w:tab w:val="right" w:pos="6480"/>
        </w:tabs>
        <w:spacing w:line="240" w:lineRule="exact"/>
        <w:rPr>
          <w:rFonts w:ascii="Arial" w:hAnsi="Arial"/>
          <w:sz w:val="24"/>
        </w:rPr>
      </w:pPr>
      <w:r>
        <w:rPr>
          <w:rFonts w:ascii="Arial" w:hAnsi="Arial"/>
          <w:sz w:val="24"/>
        </w:rPr>
        <w:tab/>
        <w:t xml:space="preserve">       </w:t>
      </w:r>
      <w:r>
        <w:rPr>
          <w:rFonts w:ascii="Arial" w:hAnsi="Arial"/>
          <w:b/>
          <w:smallCaps/>
          <w:sz w:val="24"/>
        </w:rPr>
        <w:t>total points</w:t>
      </w:r>
      <w:r w:rsidR="00390372">
        <w:rPr>
          <w:rFonts w:ascii="Arial" w:hAnsi="Arial"/>
          <w:sz w:val="24"/>
        </w:rPr>
        <w:t xml:space="preserve"> </w:t>
      </w:r>
      <w:proofErr w:type="gramStart"/>
      <w:r w:rsidR="00390372">
        <w:rPr>
          <w:rFonts w:ascii="Arial" w:hAnsi="Arial"/>
          <w:sz w:val="24"/>
        </w:rPr>
        <w:tab/>
      </w:r>
      <w:r w:rsidR="00390372">
        <w:rPr>
          <w:rFonts w:ascii="Arial" w:hAnsi="Arial" w:hint="eastAsia"/>
          <w:sz w:val="24"/>
          <w:lang w:eastAsia="zh-CN"/>
        </w:rPr>
        <w:t xml:space="preserve">  </w:t>
      </w:r>
      <w:r w:rsidR="00BD13CF">
        <w:rPr>
          <w:rFonts w:ascii="Arial" w:hAnsi="Arial" w:hint="eastAsia"/>
          <w:sz w:val="24"/>
          <w:lang w:eastAsia="zh-CN"/>
        </w:rPr>
        <w:tab/>
      </w:r>
      <w:proofErr w:type="gramEnd"/>
      <w:r w:rsidR="00390372" w:rsidRPr="00BD13CF">
        <w:rPr>
          <w:rFonts w:ascii="Arial" w:hAnsi="Arial"/>
          <w:sz w:val="24"/>
          <w:u w:val="double"/>
        </w:rPr>
        <w:t>5</w:t>
      </w:r>
      <w:r w:rsidR="00390372" w:rsidRPr="00BD13CF">
        <w:rPr>
          <w:rFonts w:ascii="Arial" w:hAnsi="Arial" w:hint="eastAsia"/>
          <w:sz w:val="24"/>
          <w:u w:val="double"/>
          <w:lang w:eastAsia="zh-CN"/>
        </w:rPr>
        <w:t>0</w:t>
      </w:r>
      <w:r w:rsidRPr="00BD13CF">
        <w:rPr>
          <w:rFonts w:ascii="Arial" w:hAnsi="Arial"/>
          <w:sz w:val="24"/>
          <w:u w:val="double"/>
        </w:rPr>
        <w:t>0</w:t>
      </w:r>
    </w:p>
    <w:p w14:paraId="16D776FE" w14:textId="77777777" w:rsidR="006E29D9" w:rsidRDefault="006E29D9" w:rsidP="006E29D9">
      <w:pPr>
        <w:pStyle w:val="a8"/>
        <w:ind w:firstLine="720"/>
      </w:pPr>
    </w:p>
    <w:p w14:paraId="62FC9F33" w14:textId="77777777" w:rsidR="006E29D9" w:rsidRDefault="006E29D9" w:rsidP="006E29D9">
      <w:pPr>
        <w:spacing w:line="240" w:lineRule="exact"/>
        <w:jc w:val="both"/>
        <w:rPr>
          <w:rFonts w:ascii="Arial" w:hAnsi="Arial"/>
          <w:sz w:val="24"/>
        </w:rPr>
      </w:pPr>
    </w:p>
    <w:p w14:paraId="107458D2" w14:textId="77777777" w:rsidR="006E29D9" w:rsidRPr="00B3562A" w:rsidRDefault="006E29D9" w:rsidP="006E29D9">
      <w:pPr>
        <w:keepLines/>
        <w:spacing w:line="240" w:lineRule="exact"/>
        <w:jc w:val="both"/>
        <w:rPr>
          <w:rFonts w:ascii="Arial" w:hAnsi="Arial"/>
          <w:b/>
          <w:caps/>
          <w:sz w:val="24"/>
        </w:rPr>
      </w:pPr>
      <w:r w:rsidRPr="00B3562A">
        <w:rPr>
          <w:rFonts w:ascii="Arial" w:hAnsi="Arial"/>
          <w:b/>
          <w:caps/>
          <w:sz w:val="24"/>
        </w:rPr>
        <w:t>Academic Integrity</w:t>
      </w:r>
    </w:p>
    <w:p w14:paraId="5A803C57" w14:textId="77777777" w:rsidR="006E29D9" w:rsidRDefault="006E29D9" w:rsidP="006E29D9">
      <w:pPr>
        <w:rPr>
          <w:rFonts w:ascii="Arial" w:hAnsi="Arial"/>
          <w:sz w:val="24"/>
        </w:rPr>
      </w:pPr>
    </w:p>
    <w:p w14:paraId="16CFF90D" w14:textId="2225C5A0" w:rsidR="006E29D9" w:rsidRDefault="00390372" w:rsidP="00B46FE8">
      <w:pPr>
        <w:ind w:firstLine="720"/>
        <w:rPr>
          <w:rFonts w:ascii="Arial" w:hAnsi="Arial"/>
          <w:sz w:val="24"/>
          <w:lang w:eastAsia="zh-CN"/>
        </w:rPr>
      </w:pPr>
      <w:r>
        <w:rPr>
          <w:rFonts w:ascii="Arial" w:hAnsi="Arial" w:hint="eastAsia"/>
          <w:sz w:val="24"/>
          <w:lang w:eastAsia="zh-CN"/>
        </w:rPr>
        <w:t>S</w:t>
      </w:r>
      <w:r w:rsidR="006E29D9" w:rsidRPr="00B3562A">
        <w:rPr>
          <w:rFonts w:ascii="Arial" w:hAnsi="Arial"/>
          <w:sz w:val="24"/>
        </w:rPr>
        <w:t>tudents shall not plagiarize, cheat</w:t>
      </w:r>
      <w:r w:rsidR="00B46FE8">
        <w:rPr>
          <w:rFonts w:ascii="Arial" w:hAnsi="Arial"/>
          <w:sz w:val="24"/>
        </w:rPr>
        <w:t>, or falsify or mi</w:t>
      </w:r>
      <w:r w:rsidR="00B46FE8">
        <w:rPr>
          <w:rFonts w:ascii="Arial" w:hAnsi="Arial" w:hint="eastAsia"/>
          <w:sz w:val="24"/>
          <w:lang w:eastAsia="zh-CN"/>
        </w:rPr>
        <w:t xml:space="preserve">suse any </w:t>
      </w:r>
      <w:r w:rsidR="006E29D9" w:rsidRPr="00B3562A">
        <w:rPr>
          <w:rFonts w:ascii="Arial" w:hAnsi="Arial"/>
          <w:sz w:val="24"/>
        </w:rPr>
        <w:t>records. Students are expected to adhere to University policy on</w:t>
      </w:r>
      <w:r w:rsidR="00B46FE8">
        <w:rPr>
          <w:rFonts w:ascii="Arial" w:hAnsi="Arial"/>
          <w:sz w:val="24"/>
        </w:rPr>
        <w:t xml:space="preserve"> cheating and plagiarism </w:t>
      </w:r>
      <w:r w:rsidR="00B46FE8">
        <w:rPr>
          <w:rFonts w:ascii="Arial" w:hAnsi="Arial" w:hint="eastAsia"/>
          <w:sz w:val="24"/>
          <w:lang w:eastAsia="zh-CN"/>
        </w:rPr>
        <w:t>throughout the course</w:t>
      </w:r>
      <w:r w:rsidR="006E29D9" w:rsidRPr="00B3562A">
        <w:rPr>
          <w:rFonts w:ascii="Arial" w:hAnsi="Arial"/>
          <w:sz w:val="24"/>
        </w:rPr>
        <w:t xml:space="preserve">.  The minimum penalty for a first offense is a zero on the assignment on which the offense occurred.  </w:t>
      </w:r>
    </w:p>
    <w:p w14:paraId="1E1B52C2" w14:textId="77777777" w:rsidR="00B46FE8" w:rsidRPr="00B3562A" w:rsidRDefault="00B46FE8" w:rsidP="00B46FE8">
      <w:pPr>
        <w:ind w:firstLine="720"/>
        <w:rPr>
          <w:rFonts w:ascii="Arial" w:hAnsi="Arial"/>
          <w:sz w:val="24"/>
          <w:lang w:eastAsia="zh-CN"/>
        </w:rPr>
      </w:pPr>
    </w:p>
    <w:p w14:paraId="43922743" w14:textId="77777777" w:rsidR="006E29D9" w:rsidRPr="00B3562A" w:rsidRDefault="006E29D9" w:rsidP="006E29D9">
      <w:pPr>
        <w:ind w:firstLine="720"/>
        <w:rPr>
          <w:rFonts w:ascii="Arial" w:hAnsi="Arial"/>
          <w:sz w:val="24"/>
        </w:rPr>
      </w:pPr>
      <w:r w:rsidRPr="00B3562A">
        <w:rPr>
          <w:rFonts w:ascii="Arial" w:hAnsi="Arial"/>
          <w:sz w:val="24"/>
        </w:rPr>
        <w:t>When students submit work purporting to be their own, but which in any way borrows ideas, organization, wording or anything else from another source without appropriate acknowledgement of the fact, the students are guilty of plagiarism.  Plagiarism includes reproducing someone else’s work, whether it be a published article, chapter of a book, a paper from a friend or some file, or something similar to this. Plagiarism also includes the practice of employing or allowing another person to alter or revise the work which a student submits as his/her own, whoever that other person may be.</w:t>
      </w:r>
    </w:p>
    <w:p w14:paraId="58F91060" w14:textId="77777777" w:rsidR="006E29D9" w:rsidRPr="00B3562A" w:rsidRDefault="006E29D9" w:rsidP="006E29D9">
      <w:pPr>
        <w:rPr>
          <w:rFonts w:ascii="Arial" w:hAnsi="Arial"/>
          <w:sz w:val="24"/>
        </w:rPr>
      </w:pPr>
    </w:p>
    <w:p w14:paraId="65F62750" w14:textId="1942A8D5" w:rsidR="006E29D9" w:rsidRPr="00B3562A" w:rsidRDefault="006E29D9" w:rsidP="006E29D9">
      <w:pPr>
        <w:ind w:firstLine="720"/>
        <w:rPr>
          <w:rFonts w:ascii="Arial" w:hAnsi="Arial"/>
          <w:sz w:val="24"/>
        </w:rPr>
      </w:pPr>
      <w:r w:rsidRPr="00B3562A">
        <w:rPr>
          <w:rFonts w:ascii="Arial" w:hAnsi="Arial"/>
          <w:sz w:val="24"/>
        </w:rPr>
        <w:t>Students may discuss assignments among themselves or with an instructor or tutor, but when the actual work is done, it must be done by the student, and the student alone. When a student’s assignment involves research in outside sources of information, the student must carefully acknowledge exactly what, where and how he/she employed them.  If the words of someone else are used, the student must put quotation marks around the passage in question and add an appropriate indication of its origin. Making simple changes while leaving the organization, content and phraseology intact is plagiaristic</w:t>
      </w:r>
    </w:p>
    <w:p w14:paraId="2F4F0C3E" w14:textId="77777777" w:rsidR="006E29D9" w:rsidRPr="00B3562A" w:rsidRDefault="006E29D9" w:rsidP="006E29D9">
      <w:pPr>
        <w:rPr>
          <w:rFonts w:ascii="Arial" w:hAnsi="Arial"/>
          <w:sz w:val="24"/>
        </w:rPr>
      </w:pPr>
    </w:p>
    <w:p w14:paraId="06957ABF" w14:textId="77777777" w:rsidR="006E29D9" w:rsidRPr="00B3562A" w:rsidRDefault="006E29D9" w:rsidP="006E29D9">
      <w:pPr>
        <w:rPr>
          <w:rFonts w:ascii="Arial" w:hAnsi="Arial"/>
          <w:sz w:val="24"/>
        </w:rPr>
      </w:pPr>
      <w:r w:rsidRPr="00B3562A">
        <w:rPr>
          <w:rFonts w:ascii="Arial" w:hAnsi="Arial"/>
          <w:sz w:val="24"/>
        </w:rPr>
        <w:t>Please note:  Any assignment you turn in may be submitted to an electronic database to check for plagiarism.</w:t>
      </w:r>
    </w:p>
    <w:p w14:paraId="2F92AB28" w14:textId="77777777" w:rsidR="006E29D9" w:rsidRPr="00B3562A" w:rsidRDefault="006E29D9" w:rsidP="006E29D9">
      <w:pPr>
        <w:rPr>
          <w:rFonts w:ascii="Arial" w:hAnsi="Arial"/>
          <w:sz w:val="24"/>
        </w:rPr>
      </w:pPr>
    </w:p>
    <w:p w14:paraId="66487D1E" w14:textId="77777777" w:rsidR="006E29D9" w:rsidRDefault="006E29D9" w:rsidP="006E29D9">
      <w:pPr>
        <w:rPr>
          <w:rFonts w:ascii="Arial" w:hAnsi="Arial"/>
          <w:sz w:val="24"/>
        </w:rPr>
      </w:pPr>
    </w:p>
    <w:p w14:paraId="05F4D5BF" w14:textId="77777777" w:rsidR="006E29D9" w:rsidRDefault="006E29D9" w:rsidP="006E29D9">
      <w:pPr>
        <w:ind w:left="720"/>
        <w:rPr>
          <w:rFonts w:ascii="Arial" w:hAnsi="Arial"/>
          <w:i/>
          <w:sz w:val="24"/>
        </w:rPr>
      </w:pPr>
    </w:p>
    <w:p w14:paraId="1CB8BECE" w14:textId="77777777" w:rsidR="006E29D9" w:rsidRDefault="006E29D9" w:rsidP="006E29D9">
      <w:pPr>
        <w:rPr>
          <w:rFonts w:ascii="Arial" w:hAnsi="Arial" w:cs="Arial"/>
          <w:sz w:val="24"/>
          <w:szCs w:val="24"/>
        </w:rPr>
      </w:pPr>
      <w:r>
        <w:rPr>
          <w:rFonts w:cs="Arial"/>
          <w:szCs w:val="24"/>
        </w:rPr>
        <w:br w:type="page"/>
      </w:r>
    </w:p>
    <w:p w14:paraId="6D25022E" w14:textId="4056B8C4" w:rsidR="00D60952" w:rsidRDefault="00B46FE8" w:rsidP="00D60952">
      <w:pPr>
        <w:spacing w:line="240" w:lineRule="atLeast"/>
        <w:jc w:val="center"/>
        <w:rPr>
          <w:rFonts w:ascii="Arial" w:hAnsi="Arial"/>
          <w:b/>
          <w:sz w:val="28"/>
          <w:lang w:eastAsia="zh-CN"/>
        </w:rPr>
      </w:pPr>
      <w:r>
        <w:rPr>
          <w:rFonts w:ascii="Arial" w:hAnsi="Arial"/>
          <w:b/>
          <w:sz w:val="28"/>
        </w:rPr>
        <w:lastRenderedPageBreak/>
        <w:t xml:space="preserve">ACC </w:t>
      </w:r>
      <w:r w:rsidR="00A959E1">
        <w:rPr>
          <w:rFonts w:ascii="Arial" w:hAnsi="Arial"/>
          <w:b/>
          <w:sz w:val="28"/>
        </w:rPr>
        <w:t>5011</w:t>
      </w:r>
    </w:p>
    <w:p w14:paraId="3FD19D6A" w14:textId="52D22D41" w:rsidR="00D60952" w:rsidRDefault="00B46FE8" w:rsidP="00D60952">
      <w:pPr>
        <w:spacing w:line="240" w:lineRule="exact"/>
        <w:jc w:val="center"/>
        <w:rPr>
          <w:rFonts w:ascii="Arial" w:hAnsi="Arial"/>
          <w:b/>
          <w:smallCaps/>
          <w:sz w:val="28"/>
          <w:lang w:eastAsia="zh-CN"/>
        </w:rPr>
      </w:pPr>
      <w:r>
        <w:rPr>
          <w:rFonts w:ascii="Arial" w:hAnsi="Arial" w:hint="eastAsia"/>
          <w:b/>
          <w:smallCaps/>
          <w:sz w:val="28"/>
          <w:lang w:eastAsia="zh-CN"/>
        </w:rPr>
        <w:t>Class Schedule</w:t>
      </w:r>
    </w:p>
    <w:p w14:paraId="641EE7D5" w14:textId="10B0D2B0" w:rsidR="00BD13CF" w:rsidRDefault="00BD13CF" w:rsidP="00D60952">
      <w:pPr>
        <w:spacing w:line="240" w:lineRule="exact"/>
        <w:jc w:val="center"/>
        <w:rPr>
          <w:rFonts w:ascii="Arial" w:hAnsi="Arial"/>
          <w:b/>
          <w:smallCaps/>
          <w:sz w:val="28"/>
          <w:lang w:eastAsia="zh-CN"/>
        </w:rPr>
      </w:pPr>
    </w:p>
    <w:p w14:paraId="6A8F6A86" w14:textId="77777777" w:rsidR="00BD13CF" w:rsidRDefault="00BD13CF" w:rsidP="00D60952">
      <w:pPr>
        <w:spacing w:line="240" w:lineRule="exact"/>
        <w:jc w:val="center"/>
        <w:rPr>
          <w:rFonts w:ascii="Arial" w:hAnsi="Arial"/>
          <w:position w:val="6"/>
          <w:sz w:val="16"/>
          <w:lang w:eastAsia="zh-CN"/>
        </w:rPr>
      </w:pPr>
    </w:p>
    <w:p w14:paraId="6790CB57" w14:textId="09C1B7E4" w:rsidR="00D60952" w:rsidRDefault="00A959E1" w:rsidP="00D60952">
      <w:pPr>
        <w:pBdr>
          <w:top w:val="single" w:sz="12" w:space="1" w:color="auto"/>
        </w:pBdr>
        <w:spacing w:line="240" w:lineRule="exact"/>
        <w:rPr>
          <w:rFonts w:ascii="Arial" w:hAnsi="Arial"/>
          <w:b/>
        </w:rPr>
      </w:pPr>
      <w:r>
        <w:rPr>
          <w:rFonts w:ascii="Arial" w:hAnsi="Arial"/>
          <w:b/>
        </w:rPr>
        <w:t>Sep 23</w:t>
      </w:r>
      <w:r w:rsidR="00D60952">
        <w:rPr>
          <w:rFonts w:ascii="Arial" w:hAnsi="Arial"/>
          <w:b/>
        </w:rPr>
        <w:tab/>
      </w:r>
    </w:p>
    <w:p w14:paraId="38D5AEA9" w14:textId="62BD4674" w:rsidR="00D60952" w:rsidRDefault="00D60952" w:rsidP="00D60952">
      <w:pPr>
        <w:spacing w:line="240" w:lineRule="exact"/>
        <w:rPr>
          <w:rFonts w:ascii="Arial" w:hAnsi="Arial"/>
        </w:rPr>
      </w:pPr>
      <w:r>
        <w:rPr>
          <w:rFonts w:ascii="Arial" w:hAnsi="Arial"/>
          <w:b/>
        </w:rPr>
        <w:t>TOPIC</w:t>
      </w:r>
      <w:r w:rsidR="00A959E1">
        <w:rPr>
          <w:rFonts w:ascii="Arial" w:hAnsi="Arial"/>
        </w:rPr>
        <w:t>:</w:t>
      </w:r>
      <w:r w:rsidR="00A959E1">
        <w:rPr>
          <w:rFonts w:ascii="Arial" w:hAnsi="Arial"/>
        </w:rPr>
        <w:tab/>
        <w:t>Do I want to be a risk professional?</w:t>
      </w:r>
    </w:p>
    <w:p w14:paraId="3F6A0F45" w14:textId="7A6AE592" w:rsidR="002908D6" w:rsidRDefault="00E940B5" w:rsidP="002908D6">
      <w:pPr>
        <w:spacing w:line="240" w:lineRule="exact"/>
        <w:rPr>
          <w:rFonts w:ascii="Arial" w:hAnsi="Arial"/>
        </w:rPr>
      </w:pPr>
      <w:r>
        <w:rPr>
          <w:rFonts w:ascii="Arial" w:hAnsi="Arial"/>
          <w:b/>
        </w:rPr>
        <w:t>READINGS</w:t>
      </w:r>
      <w:r w:rsidR="00A959E1">
        <w:rPr>
          <w:rFonts w:ascii="Arial" w:hAnsi="Arial"/>
          <w:b/>
        </w:rPr>
        <w:t>:</w:t>
      </w:r>
    </w:p>
    <w:p w14:paraId="62D88E79" w14:textId="17AD482E" w:rsidR="002908D6" w:rsidRDefault="00A959E1" w:rsidP="00A959E1">
      <w:pPr>
        <w:numPr>
          <w:ilvl w:val="0"/>
          <w:numId w:val="14"/>
        </w:numPr>
        <w:spacing w:line="240" w:lineRule="exact"/>
        <w:ind w:left="2160" w:hanging="1728"/>
        <w:rPr>
          <w:rFonts w:ascii="Arial" w:hAnsi="Arial"/>
        </w:rPr>
      </w:pPr>
      <w:r>
        <w:rPr>
          <w:rFonts w:ascii="Arial" w:hAnsi="Arial"/>
        </w:rPr>
        <w:t xml:space="preserve">Visit Big 4 and Grant Thornton </w:t>
      </w:r>
      <w:r w:rsidR="00FC75E9">
        <w:rPr>
          <w:rFonts w:ascii="Arial" w:hAnsi="Arial"/>
        </w:rPr>
        <w:t xml:space="preserve">Global website regarding “risk </w:t>
      </w:r>
      <w:bookmarkStart w:id="0" w:name="_GoBack"/>
      <w:bookmarkEnd w:id="0"/>
      <w:r>
        <w:rPr>
          <w:rFonts w:ascii="Arial" w:hAnsi="Arial"/>
        </w:rPr>
        <w:t>related services”</w:t>
      </w:r>
    </w:p>
    <w:p w14:paraId="025D394E" w14:textId="77777777" w:rsidR="002908D6" w:rsidRDefault="002908D6" w:rsidP="000E3665">
      <w:pPr>
        <w:numPr>
          <w:ilvl w:val="0"/>
          <w:numId w:val="14"/>
        </w:numPr>
        <w:spacing w:line="240" w:lineRule="exact"/>
        <w:rPr>
          <w:rFonts w:ascii="Arial" w:hAnsi="Arial"/>
        </w:rPr>
      </w:pPr>
      <w:r>
        <w:rPr>
          <w:rFonts w:ascii="Arial" w:hAnsi="Arial"/>
        </w:rPr>
        <w:t>Pulliam, S. and D. Solomon, “</w:t>
      </w:r>
      <w:proofErr w:type="spellStart"/>
      <w:r>
        <w:rPr>
          <w:rFonts w:ascii="Arial" w:hAnsi="Arial"/>
        </w:rPr>
        <w:t>Uncooking</w:t>
      </w:r>
      <w:proofErr w:type="spellEnd"/>
      <w:r>
        <w:rPr>
          <w:rFonts w:ascii="Arial" w:hAnsi="Arial"/>
        </w:rPr>
        <w:t xml:space="preserve"> the Books: How Three Unlikely Sleuths Discovered Fraud at WorldCom,” WSJ, October 30, 2002, p. A1</w:t>
      </w:r>
    </w:p>
    <w:p w14:paraId="02196789" w14:textId="0726D8AA" w:rsidR="002F7C06" w:rsidRDefault="002908D6" w:rsidP="002F7C06">
      <w:pPr>
        <w:numPr>
          <w:ilvl w:val="0"/>
          <w:numId w:val="14"/>
        </w:numPr>
        <w:spacing w:line="240" w:lineRule="exact"/>
        <w:rPr>
          <w:rFonts w:ascii="Arial" w:hAnsi="Arial" w:cs="Arial"/>
        </w:rPr>
      </w:pPr>
      <w:r>
        <w:rPr>
          <w:rFonts w:ascii="Arial" w:hAnsi="Arial"/>
        </w:rPr>
        <w:t xml:space="preserve">Applegate, D., “The </w:t>
      </w:r>
      <w:smartTag w:uri="urn:schemas-microsoft-com:office:smarttags" w:element="place">
        <w:smartTag w:uri="urn:schemas-microsoft-com:office:smarttags" w:element="country-region">
          <w:r>
            <w:rPr>
              <w:rFonts w:ascii="Arial" w:hAnsi="Arial"/>
            </w:rPr>
            <w:t>U. S.</w:t>
          </w:r>
        </w:smartTag>
      </w:smartTag>
      <w:r>
        <w:rPr>
          <w:rFonts w:ascii="Arial" w:hAnsi="Arial"/>
        </w:rPr>
        <w:t xml:space="preserve"> Corporate Audit Function,”</w:t>
      </w:r>
      <w:r w:rsidRPr="00D75F09">
        <w:rPr>
          <w:rFonts w:ascii="Arial" w:hAnsi="Arial"/>
        </w:rPr>
        <w:t xml:space="preserve"> </w:t>
      </w:r>
      <w:r w:rsidRPr="00D75F09">
        <w:rPr>
          <w:rFonts w:ascii="Arial" w:hAnsi="Arial"/>
          <w:i/>
        </w:rPr>
        <w:t>The Internal Auditor</w:t>
      </w:r>
      <w:r>
        <w:rPr>
          <w:rFonts w:ascii="Arial" w:hAnsi="Arial"/>
        </w:rPr>
        <w:t>, October 2004, pp. 23-27</w:t>
      </w:r>
    </w:p>
    <w:p w14:paraId="2EAF7321" w14:textId="0332AA41" w:rsidR="002F7C06" w:rsidRPr="00E93613" w:rsidRDefault="00E93613" w:rsidP="002F7C06">
      <w:pPr>
        <w:spacing w:line="240" w:lineRule="exact"/>
        <w:rPr>
          <w:rFonts w:ascii="Arial" w:eastAsia="新細明體" w:hAnsi="Arial" w:cs="Arial"/>
          <w:b/>
          <w:lang w:eastAsia="zh-TW"/>
        </w:rPr>
      </w:pPr>
      <w:r w:rsidRPr="00E93613">
        <w:rPr>
          <w:rFonts w:ascii="Arial" w:eastAsia="新細明體" w:hAnsi="Arial" w:cs="Arial" w:hint="eastAsia"/>
          <w:b/>
          <w:lang w:eastAsia="zh-TW"/>
        </w:rPr>
        <w:t>__________________________________________________________________________________________</w:t>
      </w:r>
    </w:p>
    <w:p w14:paraId="0A01A613" w14:textId="7A161BD8" w:rsidR="002F7C06" w:rsidRPr="002F7C06" w:rsidRDefault="00A959E1" w:rsidP="002F7C06">
      <w:pPr>
        <w:spacing w:line="240" w:lineRule="exact"/>
        <w:rPr>
          <w:rFonts w:ascii="Arial" w:hAnsi="Arial"/>
        </w:rPr>
      </w:pPr>
      <w:r>
        <w:rPr>
          <w:rFonts w:ascii="Arial" w:hAnsi="Arial"/>
          <w:b/>
        </w:rPr>
        <w:t>Sep 30</w:t>
      </w:r>
      <w:r w:rsidR="00BD13CF">
        <w:rPr>
          <w:rFonts w:ascii="Arial" w:hAnsi="Arial"/>
          <w:b/>
        </w:rPr>
        <w:t xml:space="preserve">            </w:t>
      </w:r>
      <w:r w:rsidR="002F7C06" w:rsidRPr="002F7C06">
        <w:rPr>
          <w:rFonts w:ascii="Arial" w:hAnsi="Arial"/>
          <w:b/>
        </w:rPr>
        <w:tab/>
      </w:r>
    </w:p>
    <w:p w14:paraId="7151666E" w14:textId="4EFD33AD" w:rsidR="002F7C06" w:rsidRDefault="002F7C06" w:rsidP="002F7C06">
      <w:pPr>
        <w:spacing w:line="240" w:lineRule="exact"/>
        <w:rPr>
          <w:rFonts w:ascii="Arial" w:hAnsi="Arial"/>
        </w:rPr>
      </w:pPr>
      <w:r>
        <w:rPr>
          <w:rFonts w:ascii="Arial" w:hAnsi="Arial"/>
          <w:b/>
        </w:rPr>
        <w:t>TOPIC</w:t>
      </w:r>
      <w:r>
        <w:rPr>
          <w:rFonts w:ascii="Arial" w:hAnsi="Arial"/>
        </w:rPr>
        <w:t>:</w:t>
      </w:r>
      <w:r>
        <w:rPr>
          <w:rFonts w:ascii="Arial" w:hAnsi="Arial"/>
        </w:rPr>
        <w:tab/>
      </w:r>
      <w:r w:rsidRPr="00E93613">
        <w:rPr>
          <w:rFonts w:ascii="Arial" w:hAnsi="Arial"/>
        </w:rPr>
        <w:t>Internal Control</w:t>
      </w:r>
    </w:p>
    <w:p w14:paraId="5AD37841" w14:textId="77777777" w:rsidR="002F7C06" w:rsidRDefault="002F7C06" w:rsidP="002F7C06">
      <w:pPr>
        <w:spacing w:line="240" w:lineRule="exact"/>
        <w:rPr>
          <w:rFonts w:ascii="Arial" w:hAnsi="Arial"/>
        </w:rPr>
      </w:pPr>
      <w:smartTag w:uri="urn:schemas-microsoft-com:office:smarttags" w:element="place">
        <w:smartTag w:uri="urn:schemas-microsoft-com:office:smarttags" w:element="City">
          <w:r>
            <w:rPr>
              <w:rFonts w:ascii="Arial" w:hAnsi="Arial"/>
              <w:b/>
            </w:rPr>
            <w:t>READINGS</w:t>
          </w:r>
        </w:smartTag>
      </w:smartTag>
    </w:p>
    <w:p w14:paraId="46862DFB" w14:textId="7A3D599D" w:rsidR="002F7C06" w:rsidRPr="00E940B5" w:rsidRDefault="002F7C06" w:rsidP="00E940B5">
      <w:pPr>
        <w:numPr>
          <w:ilvl w:val="0"/>
          <w:numId w:val="41"/>
        </w:numPr>
        <w:spacing w:line="240" w:lineRule="exact"/>
        <w:rPr>
          <w:rFonts w:ascii="Arial" w:hAnsi="Arial"/>
        </w:rPr>
      </w:pPr>
      <w:r w:rsidRPr="00E940B5">
        <w:rPr>
          <w:rFonts w:ascii="Arial" w:hAnsi="Arial"/>
        </w:rPr>
        <w:t xml:space="preserve">Committee of Sponsoring Organizations of the </w:t>
      </w:r>
      <w:proofErr w:type="spellStart"/>
      <w:r w:rsidRPr="00E940B5">
        <w:rPr>
          <w:rFonts w:ascii="Arial" w:hAnsi="Arial"/>
        </w:rPr>
        <w:t>Treadway</w:t>
      </w:r>
      <w:proofErr w:type="spellEnd"/>
      <w:r w:rsidRPr="00E940B5">
        <w:rPr>
          <w:rFonts w:ascii="Arial" w:hAnsi="Arial"/>
        </w:rPr>
        <w:t xml:space="preserve"> Commission, </w:t>
      </w:r>
      <w:r w:rsidRPr="00E940B5">
        <w:rPr>
          <w:rFonts w:ascii="Arial" w:hAnsi="Arial"/>
          <w:i/>
        </w:rPr>
        <w:t>Internal Control - Integrated Framework</w:t>
      </w:r>
      <w:r w:rsidRPr="00E940B5">
        <w:rPr>
          <w:rFonts w:ascii="Arial" w:hAnsi="Arial"/>
        </w:rPr>
        <w:t>, (COSO, 20</w:t>
      </w:r>
      <w:r w:rsidR="00E940B5" w:rsidRPr="00E940B5">
        <w:rPr>
          <w:rFonts w:ascii="Arial" w:hAnsi="Arial"/>
        </w:rPr>
        <w:t>13), executive summary.</w:t>
      </w:r>
      <w:r w:rsidRPr="00E940B5">
        <w:rPr>
          <w:rFonts w:ascii="Arial" w:hAnsi="Arial"/>
          <w:b/>
        </w:rPr>
        <w:t xml:space="preserve"> </w:t>
      </w:r>
    </w:p>
    <w:p w14:paraId="1EB0736A" w14:textId="77777777" w:rsidR="002F7C06" w:rsidRPr="002F7C06" w:rsidRDefault="002F7C06" w:rsidP="002F7C06">
      <w:pPr>
        <w:pStyle w:val="af"/>
        <w:spacing w:line="240" w:lineRule="exact"/>
        <w:rPr>
          <w:rFonts w:ascii="Arial" w:hAnsi="Arial"/>
        </w:rPr>
      </w:pPr>
    </w:p>
    <w:p w14:paraId="6AC2ECEA" w14:textId="46CC3E16" w:rsidR="00D60952" w:rsidRDefault="00E940B5" w:rsidP="00D60952">
      <w:pPr>
        <w:pBdr>
          <w:top w:val="single" w:sz="12" w:space="1" w:color="auto"/>
        </w:pBdr>
        <w:spacing w:line="240" w:lineRule="exact"/>
        <w:rPr>
          <w:rFonts w:ascii="Arial" w:hAnsi="Arial"/>
          <w:b/>
        </w:rPr>
      </w:pPr>
      <w:r>
        <w:rPr>
          <w:rFonts w:ascii="Arial" w:hAnsi="Arial"/>
          <w:b/>
        </w:rPr>
        <w:t>Oct 7</w:t>
      </w:r>
    </w:p>
    <w:p w14:paraId="5307AA4B" w14:textId="77777777" w:rsidR="00D60952" w:rsidRDefault="00D60952" w:rsidP="00D60952">
      <w:pPr>
        <w:spacing w:line="240" w:lineRule="exact"/>
        <w:rPr>
          <w:rFonts w:ascii="Arial" w:hAnsi="Arial"/>
        </w:rPr>
      </w:pPr>
      <w:r>
        <w:rPr>
          <w:rFonts w:ascii="Arial" w:hAnsi="Arial"/>
          <w:b/>
        </w:rPr>
        <w:t>TOPIC:</w:t>
      </w:r>
      <w:r>
        <w:rPr>
          <w:rFonts w:ascii="Arial" w:hAnsi="Arial"/>
        </w:rPr>
        <w:t xml:space="preserve"> </w:t>
      </w:r>
      <w:r w:rsidRPr="000449A9">
        <w:rPr>
          <w:rFonts w:ascii="Arial" w:hAnsi="Arial"/>
        </w:rPr>
        <w:t>The Internal Auditing Profession; Adding Value: Governance, Risk Management and Control</w:t>
      </w:r>
    </w:p>
    <w:p w14:paraId="681CDE8E" w14:textId="77777777" w:rsidR="00D60952" w:rsidRDefault="00D60952" w:rsidP="00D60952">
      <w:pPr>
        <w:spacing w:line="240" w:lineRule="exact"/>
        <w:rPr>
          <w:rFonts w:ascii="Arial" w:hAnsi="Arial"/>
        </w:rPr>
      </w:pPr>
      <w:smartTag w:uri="urn:schemas-microsoft-com:office:smarttags" w:element="place">
        <w:smartTag w:uri="urn:schemas-microsoft-com:office:smarttags" w:element="City">
          <w:r>
            <w:rPr>
              <w:rFonts w:ascii="Arial" w:hAnsi="Arial"/>
              <w:b/>
            </w:rPr>
            <w:t>READINGS</w:t>
          </w:r>
        </w:smartTag>
      </w:smartTag>
    </w:p>
    <w:p w14:paraId="383E6F2B" w14:textId="1EA3D93E" w:rsidR="00D60952" w:rsidRDefault="00D60952" w:rsidP="00E940B5">
      <w:pPr>
        <w:spacing w:line="240" w:lineRule="exact"/>
        <w:ind w:left="792"/>
        <w:rPr>
          <w:rFonts w:ascii="Arial" w:hAnsi="Arial"/>
        </w:rPr>
      </w:pPr>
    </w:p>
    <w:p w14:paraId="379A2A8B" w14:textId="093B9C4E" w:rsidR="00D60952" w:rsidRDefault="00D60952" w:rsidP="00043E62">
      <w:pPr>
        <w:numPr>
          <w:ilvl w:val="0"/>
          <w:numId w:val="21"/>
        </w:numPr>
        <w:spacing w:line="240" w:lineRule="exact"/>
        <w:rPr>
          <w:rFonts w:ascii="Arial" w:hAnsi="Arial"/>
        </w:rPr>
      </w:pPr>
      <w:r w:rsidRPr="00F42C16">
        <w:rPr>
          <w:rFonts w:ascii="Arial" w:hAnsi="Arial"/>
        </w:rPr>
        <w:t>Moody’s Investor Services, Best Practices in Audit Committee Oversight o</w:t>
      </w:r>
      <w:r w:rsidR="00BD13CF">
        <w:rPr>
          <w:rFonts w:ascii="Arial" w:hAnsi="Arial"/>
        </w:rPr>
        <w:t>f Internal Audit, October 2006</w:t>
      </w:r>
      <w:r w:rsidR="00043E62" w:rsidRPr="00043E62">
        <w:rPr>
          <w:rFonts w:ascii="Arial" w:hAnsi="Arial"/>
        </w:rPr>
        <w:t>.</w:t>
      </w:r>
    </w:p>
    <w:p w14:paraId="1783F346" w14:textId="01EDD246" w:rsidR="002908D6" w:rsidRPr="002F7C06" w:rsidRDefault="002908D6" w:rsidP="000E3665">
      <w:pPr>
        <w:numPr>
          <w:ilvl w:val="0"/>
          <w:numId w:val="21"/>
        </w:numPr>
        <w:spacing w:line="240" w:lineRule="exact"/>
        <w:rPr>
          <w:rStyle w:val="a7"/>
          <w:rFonts w:ascii="Arial" w:hAnsi="Arial" w:cs="Arial"/>
          <w:color w:val="000000"/>
          <w:u w:val="none"/>
        </w:rPr>
      </w:pPr>
      <w:r w:rsidRPr="005B5B73">
        <w:rPr>
          <w:rFonts w:ascii="Arial" w:hAnsi="Arial" w:cs="Arial"/>
          <w:color w:val="000000"/>
        </w:rPr>
        <w:t>The Three Lines of Defense in Effective Risk Management and Control, January 2013</w:t>
      </w:r>
      <w:r>
        <w:rPr>
          <w:rFonts w:ascii="Arial" w:hAnsi="Arial" w:cs="Arial"/>
          <w:color w:val="000000"/>
        </w:rPr>
        <w:t xml:space="preserve">. </w:t>
      </w:r>
      <w:hyperlink r:id="rId8" w:history="1">
        <w:r w:rsidRPr="005B5B73">
          <w:rPr>
            <w:rStyle w:val="a7"/>
            <w:rFonts w:ascii="Arial" w:hAnsi="Arial" w:cs="Arial"/>
          </w:rPr>
          <w:t>https://na.theiia.org/standards-guidance/Public%20Documents/PP%20The%20Three%20Lines%20of%20Defense%20in%20Effective%20Risk%20Management%20and%20Control.pdf</w:t>
        </w:r>
      </w:hyperlink>
    </w:p>
    <w:p w14:paraId="1BA87284" w14:textId="77777777" w:rsidR="002F7C06" w:rsidRDefault="002F7C06" w:rsidP="002F7C06">
      <w:pPr>
        <w:spacing w:line="240" w:lineRule="exact"/>
        <w:ind w:left="792"/>
        <w:rPr>
          <w:rFonts w:ascii="Arial" w:hAnsi="Arial" w:cs="Arial"/>
          <w:color w:val="000000"/>
        </w:rPr>
      </w:pPr>
    </w:p>
    <w:p w14:paraId="305EE6AC" w14:textId="5F6638CC" w:rsidR="00D60952" w:rsidRDefault="002B5303" w:rsidP="00D60952">
      <w:pPr>
        <w:pBdr>
          <w:top w:val="single" w:sz="12" w:space="1" w:color="auto"/>
        </w:pBdr>
        <w:spacing w:line="240" w:lineRule="exact"/>
        <w:rPr>
          <w:rFonts w:ascii="Arial" w:hAnsi="Arial"/>
          <w:b/>
        </w:rPr>
      </w:pPr>
      <w:r>
        <w:rPr>
          <w:rFonts w:ascii="Arial" w:hAnsi="Arial"/>
          <w:b/>
        </w:rPr>
        <w:t>Oct 14</w:t>
      </w:r>
    </w:p>
    <w:p w14:paraId="43C41599" w14:textId="18B85792" w:rsidR="00D60952" w:rsidRDefault="00D60952" w:rsidP="00D60952">
      <w:pPr>
        <w:spacing w:line="240" w:lineRule="exact"/>
        <w:ind w:left="720" w:hanging="720"/>
        <w:rPr>
          <w:rFonts w:ascii="Arial" w:hAnsi="Arial"/>
        </w:rPr>
      </w:pPr>
      <w:r>
        <w:rPr>
          <w:rFonts w:ascii="Arial" w:hAnsi="Arial"/>
          <w:b/>
        </w:rPr>
        <w:t>TOPIC</w:t>
      </w:r>
      <w:r>
        <w:rPr>
          <w:rFonts w:ascii="Arial" w:hAnsi="Arial"/>
        </w:rPr>
        <w:t>:</w:t>
      </w:r>
      <w:r>
        <w:rPr>
          <w:rFonts w:ascii="Arial" w:hAnsi="Arial"/>
        </w:rPr>
        <w:tab/>
        <w:t>The International Professional Practices Framework</w:t>
      </w:r>
      <w:r w:rsidR="002B5303">
        <w:rPr>
          <w:rFonts w:ascii="Arial" w:hAnsi="Arial"/>
        </w:rPr>
        <w:t xml:space="preserve"> of IIA</w:t>
      </w:r>
    </w:p>
    <w:p w14:paraId="4183DB39" w14:textId="77777777" w:rsidR="00E62F70" w:rsidRDefault="00E62F70" w:rsidP="00E62F70">
      <w:pPr>
        <w:spacing w:line="240" w:lineRule="exact"/>
        <w:rPr>
          <w:rFonts w:ascii="Arial" w:hAnsi="Arial"/>
          <w:b/>
        </w:rPr>
      </w:pPr>
      <w:r>
        <w:rPr>
          <w:rFonts w:ascii="Arial" w:hAnsi="Arial"/>
          <w:b/>
        </w:rPr>
        <w:t>READINGS</w:t>
      </w:r>
    </w:p>
    <w:p w14:paraId="7A7DF15F" w14:textId="618D0B7D" w:rsidR="00E62F70" w:rsidRDefault="00E62F70" w:rsidP="00E940B5">
      <w:pPr>
        <w:spacing w:line="240" w:lineRule="exact"/>
        <w:rPr>
          <w:rFonts w:ascii="Arial" w:hAnsi="Arial"/>
        </w:rPr>
      </w:pPr>
    </w:p>
    <w:p w14:paraId="4CA1B748" w14:textId="212B35F3" w:rsidR="00E62F70" w:rsidRDefault="00281BB6" w:rsidP="00E62F70">
      <w:pPr>
        <w:numPr>
          <w:ilvl w:val="0"/>
          <w:numId w:val="18"/>
        </w:numPr>
        <w:spacing w:line="240" w:lineRule="exact"/>
        <w:rPr>
          <w:rFonts w:ascii="Arial" w:hAnsi="Arial"/>
        </w:rPr>
      </w:pPr>
      <w:r>
        <w:rPr>
          <w:rFonts w:ascii="Arial" w:hAnsi="Arial"/>
        </w:rPr>
        <w:t>Mission</w:t>
      </w:r>
      <w:r w:rsidR="00E62F70">
        <w:rPr>
          <w:rFonts w:ascii="Arial" w:hAnsi="Arial"/>
        </w:rPr>
        <w:t>, Core Principle and Definition of Internal A</w:t>
      </w:r>
      <w:r w:rsidR="00BD13CF">
        <w:rPr>
          <w:rFonts w:ascii="Arial" w:hAnsi="Arial"/>
        </w:rPr>
        <w:t>udit</w:t>
      </w:r>
    </w:p>
    <w:p w14:paraId="7301230A" w14:textId="77777777" w:rsidR="00E62F70" w:rsidRDefault="00E62F70" w:rsidP="00E62F70">
      <w:pPr>
        <w:numPr>
          <w:ilvl w:val="0"/>
          <w:numId w:val="18"/>
        </w:numPr>
        <w:spacing w:line="240" w:lineRule="exact"/>
        <w:rPr>
          <w:rFonts w:ascii="Arial" w:hAnsi="Arial"/>
        </w:rPr>
      </w:pPr>
      <w:r>
        <w:rPr>
          <w:rFonts w:ascii="Arial" w:hAnsi="Arial"/>
        </w:rPr>
        <w:t xml:space="preserve">Code of Ethics, On IIA Website </w:t>
      </w:r>
      <w:hyperlink r:id="rId9" w:history="1">
        <w:r w:rsidRPr="00523548">
          <w:rPr>
            <w:rStyle w:val="a7"/>
          </w:rPr>
          <w:t>https://na.theiia.org/standards-guidance/mandatory-guidance/Pages/Code-of-Ethics.aspx</w:t>
        </w:r>
      </w:hyperlink>
      <w:r>
        <w:t xml:space="preserve"> </w:t>
      </w:r>
      <w:r>
        <w:rPr>
          <w:rFonts w:ascii="Arial" w:hAnsi="Arial"/>
        </w:rPr>
        <w:t>or Text, Appendix A.</w:t>
      </w:r>
    </w:p>
    <w:p w14:paraId="0DAA2754" w14:textId="77777777" w:rsidR="00E62F70" w:rsidRPr="00260545" w:rsidRDefault="00E62F70" w:rsidP="00E62F70">
      <w:pPr>
        <w:numPr>
          <w:ilvl w:val="0"/>
          <w:numId w:val="18"/>
        </w:numPr>
        <w:spacing w:line="240" w:lineRule="exact"/>
        <w:rPr>
          <w:rFonts w:ascii="Arial" w:hAnsi="Arial"/>
        </w:rPr>
      </w:pPr>
      <w:r w:rsidRPr="00260545">
        <w:rPr>
          <w:rFonts w:ascii="Arial" w:hAnsi="Arial"/>
        </w:rPr>
        <w:t xml:space="preserve">International Standards for the Professional Practice of Internal Auditing (Standards) </w:t>
      </w:r>
      <w:hyperlink r:id="rId10" w:history="1">
        <w:r w:rsidRPr="00260545">
          <w:rPr>
            <w:rStyle w:val="a7"/>
            <w:rFonts w:ascii="Arial" w:hAnsi="Arial"/>
          </w:rPr>
          <w:t>http://www.theiia.org/guidance/standards-and-guidance/ippf/standards/</w:t>
        </w:r>
      </w:hyperlink>
      <w:r w:rsidRPr="00260545">
        <w:rPr>
          <w:rFonts w:ascii="Arial" w:hAnsi="Arial"/>
        </w:rPr>
        <w:t>,</w:t>
      </w:r>
      <w:r>
        <w:rPr>
          <w:rFonts w:ascii="Arial" w:hAnsi="Arial"/>
        </w:rPr>
        <w:t xml:space="preserve"> or </w:t>
      </w:r>
      <w:r w:rsidRPr="00260545">
        <w:rPr>
          <w:rFonts w:ascii="Arial" w:hAnsi="Arial"/>
        </w:rPr>
        <w:t xml:space="preserve">Text, Appendix B. </w:t>
      </w:r>
    </w:p>
    <w:p w14:paraId="19317335" w14:textId="4CD904A1" w:rsidR="00D60952" w:rsidRPr="004D0EE1" w:rsidRDefault="00E93613" w:rsidP="00621AF9">
      <w:pPr>
        <w:pBdr>
          <w:top w:val="single" w:sz="12" w:space="1" w:color="auto"/>
        </w:pBdr>
        <w:rPr>
          <w:rFonts w:ascii="Arial" w:hAnsi="Arial"/>
          <w:b/>
        </w:rPr>
      </w:pPr>
      <w:r>
        <w:rPr>
          <w:rFonts w:ascii="Arial" w:eastAsia="新細明體" w:hAnsi="Arial" w:cs="Arial"/>
          <w:b/>
          <w:lang w:eastAsia="zh-TW"/>
        </w:rPr>
        <w:t>Oct 2</w:t>
      </w:r>
      <w:r w:rsidR="002B5303">
        <w:rPr>
          <w:rFonts w:ascii="Arial" w:eastAsia="新細明體" w:hAnsi="Arial" w:cs="Arial"/>
          <w:b/>
          <w:lang w:eastAsia="zh-TW"/>
        </w:rPr>
        <w:t>1</w:t>
      </w:r>
      <w:r w:rsidR="005B32E5">
        <w:rPr>
          <w:rFonts w:ascii="Arial" w:hAnsi="Arial"/>
          <w:b/>
        </w:rPr>
        <w:tab/>
      </w:r>
      <w:r w:rsidR="00BD13CF">
        <w:rPr>
          <w:rFonts w:ascii="Arial" w:hAnsi="Arial"/>
          <w:b/>
        </w:rPr>
        <w:t xml:space="preserve"> </w:t>
      </w:r>
    </w:p>
    <w:p w14:paraId="191D7B3E" w14:textId="16CC73B4" w:rsidR="00D60952" w:rsidRPr="00974FF8" w:rsidRDefault="00D60952" w:rsidP="00D60952">
      <w:pPr>
        <w:rPr>
          <w:rFonts w:ascii="Arial" w:hAnsi="Arial"/>
          <w:b/>
        </w:rPr>
      </w:pPr>
      <w:r w:rsidRPr="00974FF8">
        <w:rPr>
          <w:rFonts w:ascii="Arial" w:hAnsi="Arial"/>
          <w:b/>
        </w:rPr>
        <w:t xml:space="preserve">TOPIC: </w:t>
      </w:r>
      <w:r w:rsidRPr="00E93613">
        <w:rPr>
          <w:rFonts w:ascii="Arial" w:hAnsi="Arial"/>
        </w:rPr>
        <w:t>Risk Management</w:t>
      </w:r>
      <w:r w:rsidR="002B5303">
        <w:rPr>
          <w:rFonts w:ascii="Arial" w:hAnsi="Arial"/>
        </w:rPr>
        <w:t xml:space="preserve"> Overview</w:t>
      </w:r>
    </w:p>
    <w:p w14:paraId="1B0DBBD6" w14:textId="77777777" w:rsidR="00D60952" w:rsidRDefault="00D60952" w:rsidP="00D60952">
      <w:pPr>
        <w:rPr>
          <w:rFonts w:ascii="Arial" w:hAnsi="Arial"/>
          <w:b/>
        </w:rPr>
      </w:pPr>
      <w:r w:rsidRPr="00974FF8">
        <w:rPr>
          <w:rFonts w:ascii="Arial" w:hAnsi="Arial"/>
          <w:b/>
        </w:rPr>
        <w:t>READINGS</w:t>
      </w:r>
    </w:p>
    <w:p w14:paraId="78EBD110" w14:textId="762AC30A" w:rsidR="00D60952" w:rsidRPr="00E940B5" w:rsidRDefault="00D60952" w:rsidP="00E940B5">
      <w:pPr>
        <w:spacing w:line="240" w:lineRule="exact"/>
        <w:rPr>
          <w:rFonts w:ascii="Arial" w:hAnsi="Arial"/>
        </w:rPr>
      </w:pPr>
    </w:p>
    <w:p w14:paraId="4664A0C9" w14:textId="6F4C04A4" w:rsidR="00DA106C" w:rsidRDefault="00DA106C" w:rsidP="00EB4E8A">
      <w:pPr>
        <w:pStyle w:val="af"/>
        <w:numPr>
          <w:ilvl w:val="0"/>
          <w:numId w:val="19"/>
        </w:numPr>
        <w:spacing w:line="240" w:lineRule="exact"/>
        <w:rPr>
          <w:rFonts w:ascii="Arial" w:hAnsi="Arial"/>
        </w:rPr>
      </w:pPr>
      <w:r>
        <w:rPr>
          <w:rFonts w:ascii="Arial" w:hAnsi="Arial" w:hint="eastAsia"/>
        </w:rPr>
        <w:t>ED, pp. 1-24</w:t>
      </w:r>
    </w:p>
    <w:p w14:paraId="4A1427D0" w14:textId="4D4AB73E" w:rsidR="00EB4E8A" w:rsidRPr="00E13EC3" w:rsidRDefault="00EB4E8A" w:rsidP="00EB4E8A">
      <w:pPr>
        <w:pStyle w:val="af"/>
        <w:numPr>
          <w:ilvl w:val="0"/>
          <w:numId w:val="19"/>
        </w:numPr>
        <w:spacing w:line="240" w:lineRule="exact"/>
        <w:rPr>
          <w:rFonts w:ascii="Arial" w:hAnsi="Arial"/>
        </w:rPr>
      </w:pPr>
      <w:r w:rsidRPr="00E13EC3">
        <w:rPr>
          <w:rFonts w:ascii="Arial" w:hAnsi="Arial"/>
        </w:rPr>
        <w:t xml:space="preserve">Position Paper - The Role of Internal Auditing in Enterprise-wide Risk Management. Found at: </w:t>
      </w:r>
      <w:hyperlink r:id="rId11" w:history="1">
        <w:r w:rsidRPr="00E13EC3">
          <w:rPr>
            <w:rStyle w:val="a7"/>
            <w:rFonts w:ascii="Arial" w:hAnsi="Arial"/>
          </w:rPr>
          <w:t>https://na.theiia.org/standards-guidance/Public%20Documents/PP%20The%20Role%20of%20Internal%20Auditing%20in%20Enterprise%20Risk%20Management.pdf</w:t>
        </w:r>
      </w:hyperlink>
    </w:p>
    <w:p w14:paraId="09C0483B" w14:textId="77777777" w:rsidR="00D60952" w:rsidRPr="004D650D" w:rsidRDefault="00D60952" w:rsidP="000E3665">
      <w:pPr>
        <w:pStyle w:val="af"/>
        <w:numPr>
          <w:ilvl w:val="0"/>
          <w:numId w:val="19"/>
        </w:numPr>
        <w:spacing w:line="240" w:lineRule="exact"/>
        <w:rPr>
          <w:rStyle w:val="ab"/>
          <w:rFonts w:ascii="Arial" w:hAnsi="Arial"/>
          <w:i w:val="0"/>
          <w:iCs w:val="0"/>
        </w:rPr>
      </w:pPr>
      <w:r w:rsidRPr="004D650D">
        <w:rPr>
          <w:rFonts w:ascii="Arial" w:hAnsi="Arial"/>
        </w:rPr>
        <w:t xml:space="preserve">Committee of Sponsoring Organizations of the </w:t>
      </w:r>
      <w:proofErr w:type="spellStart"/>
      <w:r w:rsidRPr="004D650D">
        <w:rPr>
          <w:rFonts w:ascii="Arial" w:hAnsi="Arial"/>
        </w:rPr>
        <w:t>Treadway</w:t>
      </w:r>
      <w:proofErr w:type="spellEnd"/>
      <w:r w:rsidRPr="004D650D">
        <w:rPr>
          <w:rFonts w:ascii="Arial" w:hAnsi="Arial"/>
        </w:rPr>
        <w:t xml:space="preserve"> Commission, </w:t>
      </w:r>
      <w:r w:rsidRPr="004D650D">
        <w:rPr>
          <w:rFonts w:ascii="Arial" w:hAnsi="Arial" w:cs="Arial"/>
          <w:color w:val="000000"/>
        </w:rPr>
        <w:t xml:space="preserve">COSO </w:t>
      </w:r>
      <w:r w:rsidRPr="004D650D">
        <w:rPr>
          <w:rStyle w:val="ab"/>
          <w:rFonts w:ascii="Arial" w:hAnsi="Arial" w:cs="Arial"/>
          <w:color w:val="000000"/>
        </w:rPr>
        <w:t>Enterprise Risk Management — Integrated Framework</w:t>
      </w:r>
      <w:r w:rsidRPr="004D650D">
        <w:rPr>
          <w:rStyle w:val="ab"/>
          <w:rFonts w:ascii="Arial" w:hAnsi="Arial" w:cs="Arial"/>
          <w:i w:val="0"/>
          <w:color w:val="000000"/>
        </w:rPr>
        <w:t xml:space="preserve">, </w:t>
      </w:r>
      <w:r w:rsidRPr="004D650D">
        <w:rPr>
          <w:rFonts w:ascii="Arial" w:hAnsi="Arial"/>
        </w:rPr>
        <w:t xml:space="preserve">(COSO, 2004), </w:t>
      </w:r>
      <w:r w:rsidRPr="004D650D">
        <w:rPr>
          <w:rStyle w:val="ab"/>
          <w:rFonts w:ascii="Arial" w:hAnsi="Arial" w:cs="Arial"/>
          <w:i w:val="0"/>
          <w:color w:val="000000"/>
        </w:rPr>
        <w:t xml:space="preserve">executive summary. Found at: </w:t>
      </w:r>
    </w:p>
    <w:p w14:paraId="419F594B" w14:textId="0ED64611" w:rsidR="00DA106C" w:rsidRPr="00DA106C" w:rsidRDefault="00365C3B" w:rsidP="00DA106C">
      <w:pPr>
        <w:pStyle w:val="af"/>
        <w:rPr>
          <w:rFonts w:ascii="Arial" w:hAnsi="Arial" w:cs="Arial"/>
          <w:color w:val="0000FF"/>
          <w:u w:val="single"/>
        </w:rPr>
      </w:pPr>
      <w:hyperlink r:id="rId12" w:history="1">
        <w:r w:rsidR="00D60952" w:rsidRPr="004D650D">
          <w:rPr>
            <w:rStyle w:val="a7"/>
            <w:rFonts w:ascii="Arial" w:hAnsi="Arial" w:cs="Arial"/>
          </w:rPr>
          <w:t>http://www.coso.org/Publications/ERM/COSO_ERM_ExecutiveSummary.pdf</w:t>
        </w:r>
      </w:hyperlink>
    </w:p>
    <w:p w14:paraId="2F25DA11" w14:textId="4450A9D4" w:rsidR="00D60952" w:rsidRDefault="002B5303" w:rsidP="002972CB">
      <w:pPr>
        <w:pBdr>
          <w:top w:val="single" w:sz="12" w:space="1" w:color="auto"/>
        </w:pBdr>
        <w:spacing w:line="240" w:lineRule="exact"/>
        <w:rPr>
          <w:rFonts w:ascii="Arial" w:hAnsi="Arial"/>
          <w:b/>
        </w:rPr>
      </w:pPr>
      <w:r>
        <w:rPr>
          <w:rFonts w:ascii="Arial" w:hAnsi="Arial"/>
          <w:b/>
        </w:rPr>
        <w:t>Oct 28</w:t>
      </w:r>
      <w:r w:rsidR="00112EC6">
        <w:rPr>
          <w:rFonts w:ascii="Arial" w:hAnsi="Arial"/>
          <w:b/>
        </w:rPr>
        <w:tab/>
      </w:r>
    </w:p>
    <w:p w14:paraId="1858E44E" w14:textId="60E3FC7B" w:rsidR="00EB4E8A" w:rsidRPr="00790EC9" w:rsidRDefault="00EB4E8A" w:rsidP="00EB4E8A">
      <w:pPr>
        <w:spacing w:line="240" w:lineRule="exact"/>
        <w:rPr>
          <w:rFonts w:ascii="Arial" w:hAnsi="Arial"/>
        </w:rPr>
      </w:pPr>
      <w:r w:rsidRPr="00BA2D69">
        <w:rPr>
          <w:rFonts w:ascii="Arial" w:hAnsi="Arial"/>
          <w:b/>
        </w:rPr>
        <w:t xml:space="preserve">TOPIC: </w:t>
      </w:r>
      <w:r w:rsidR="00DA106C">
        <w:rPr>
          <w:rFonts w:ascii="Arial" w:hAnsi="Arial" w:cs="Arial"/>
        </w:rPr>
        <w:t>Introduction of ERM and Strategy</w:t>
      </w:r>
    </w:p>
    <w:p w14:paraId="253B496C" w14:textId="77777777" w:rsidR="00EB4E8A" w:rsidRPr="001F4A0D" w:rsidRDefault="00EB4E8A" w:rsidP="00EB4E8A">
      <w:pPr>
        <w:spacing w:line="240" w:lineRule="exact"/>
        <w:rPr>
          <w:rFonts w:ascii="Arial" w:hAnsi="Arial"/>
          <w:color w:val="000000" w:themeColor="text1"/>
        </w:rPr>
      </w:pPr>
      <w:r w:rsidRPr="001F4A0D">
        <w:rPr>
          <w:rFonts w:ascii="Arial" w:hAnsi="Arial"/>
          <w:color w:val="000000" w:themeColor="text1"/>
        </w:rPr>
        <w:t>READINGS</w:t>
      </w:r>
    </w:p>
    <w:p w14:paraId="02939FEB" w14:textId="48E01026" w:rsidR="00790EC9" w:rsidRDefault="00DA106C" w:rsidP="00DA106C">
      <w:pPr>
        <w:numPr>
          <w:ilvl w:val="0"/>
          <w:numId w:val="5"/>
        </w:numPr>
        <w:spacing w:line="240" w:lineRule="exact"/>
        <w:rPr>
          <w:rFonts w:ascii="Arial" w:hAnsi="Arial" w:cs="Arial"/>
          <w:color w:val="000000"/>
        </w:rPr>
      </w:pPr>
      <w:r>
        <w:rPr>
          <w:rFonts w:ascii="Arial" w:hAnsi="Arial" w:cs="Arial"/>
          <w:color w:val="000000"/>
        </w:rPr>
        <w:t>ED, pp. 12-16, 27-60</w:t>
      </w:r>
    </w:p>
    <w:p w14:paraId="56D84BC2" w14:textId="42DF3608" w:rsidR="00DA106C" w:rsidRDefault="00DA106C" w:rsidP="00DA106C">
      <w:pPr>
        <w:spacing w:line="240" w:lineRule="exact"/>
        <w:ind w:left="720"/>
        <w:rPr>
          <w:rFonts w:ascii="Arial" w:hAnsi="Arial" w:cs="Arial"/>
          <w:color w:val="000000"/>
        </w:rPr>
      </w:pPr>
    </w:p>
    <w:p w14:paraId="0828A19C" w14:textId="77777777" w:rsidR="00DA106C" w:rsidRPr="00DA106C" w:rsidRDefault="00DA106C" w:rsidP="00DA106C">
      <w:pPr>
        <w:spacing w:line="240" w:lineRule="exact"/>
        <w:ind w:left="720"/>
        <w:rPr>
          <w:rFonts w:ascii="Arial" w:hAnsi="Arial" w:cs="Arial"/>
          <w:color w:val="000000"/>
        </w:rPr>
      </w:pPr>
    </w:p>
    <w:p w14:paraId="4F210916" w14:textId="0FCDECAD" w:rsidR="00D60952" w:rsidRDefault="002B5303" w:rsidP="00D60952">
      <w:pPr>
        <w:pBdr>
          <w:top w:val="single" w:sz="12" w:space="1" w:color="auto"/>
        </w:pBdr>
        <w:spacing w:line="240" w:lineRule="exact"/>
        <w:rPr>
          <w:rFonts w:ascii="Arial" w:hAnsi="Arial"/>
          <w:b/>
        </w:rPr>
      </w:pPr>
      <w:r>
        <w:rPr>
          <w:rFonts w:ascii="Arial" w:hAnsi="Arial"/>
          <w:b/>
        </w:rPr>
        <w:lastRenderedPageBreak/>
        <w:t>Nov 4</w:t>
      </w:r>
      <w:r w:rsidR="00EB4E8A">
        <w:rPr>
          <w:rFonts w:ascii="Arial" w:hAnsi="Arial"/>
          <w:b/>
        </w:rPr>
        <w:tab/>
      </w:r>
    </w:p>
    <w:p w14:paraId="57F74311" w14:textId="0079FEE6" w:rsidR="00EB4E8A" w:rsidRDefault="00EB4E8A" w:rsidP="00EB4E8A">
      <w:pPr>
        <w:shd w:val="clear" w:color="auto" w:fill="FFFFFF" w:themeFill="background1"/>
        <w:spacing w:line="240" w:lineRule="exact"/>
        <w:rPr>
          <w:rFonts w:ascii="Arial" w:hAnsi="Arial"/>
        </w:rPr>
      </w:pPr>
      <w:r w:rsidRPr="00EB4E8A">
        <w:rPr>
          <w:rFonts w:ascii="Arial" w:hAnsi="Arial"/>
          <w:b/>
        </w:rPr>
        <w:t>TOPIC</w:t>
      </w:r>
      <w:r>
        <w:rPr>
          <w:rFonts w:ascii="Arial" w:hAnsi="Arial"/>
        </w:rPr>
        <w:t>:</w:t>
      </w:r>
      <w:r w:rsidRPr="00677B55">
        <w:rPr>
          <w:rFonts w:ascii="Arial" w:hAnsi="Arial"/>
        </w:rPr>
        <w:t xml:space="preserve"> </w:t>
      </w:r>
      <w:r w:rsidR="00E575C1">
        <w:rPr>
          <w:rFonts w:ascii="Arial" w:hAnsi="Arial"/>
        </w:rPr>
        <w:t xml:space="preserve">Risk Identification &amp; </w:t>
      </w:r>
      <w:r w:rsidR="00DA106C">
        <w:rPr>
          <w:rFonts w:ascii="Arial" w:hAnsi="Arial"/>
        </w:rPr>
        <w:t>Ris</w:t>
      </w:r>
      <w:r w:rsidR="00E575C1">
        <w:rPr>
          <w:rFonts w:ascii="Arial" w:hAnsi="Arial"/>
        </w:rPr>
        <w:t>k Assessment</w:t>
      </w:r>
      <w:r w:rsidR="00DA106C">
        <w:rPr>
          <w:rFonts w:ascii="Arial" w:hAnsi="Arial"/>
        </w:rPr>
        <w:t>.</w:t>
      </w:r>
    </w:p>
    <w:p w14:paraId="43D4C781" w14:textId="77777777" w:rsidR="00EB4E8A" w:rsidRDefault="00EB4E8A" w:rsidP="00EB4E8A">
      <w:pPr>
        <w:spacing w:line="240" w:lineRule="exact"/>
        <w:rPr>
          <w:rFonts w:ascii="Arial" w:hAnsi="Arial"/>
        </w:rPr>
      </w:pPr>
      <w:smartTag w:uri="urn:schemas-microsoft-com:office:smarttags" w:element="place">
        <w:smartTag w:uri="urn:schemas-microsoft-com:office:smarttags" w:element="City">
          <w:r>
            <w:rPr>
              <w:rFonts w:ascii="Arial" w:hAnsi="Arial"/>
              <w:b/>
            </w:rPr>
            <w:t>READINGS</w:t>
          </w:r>
        </w:smartTag>
      </w:smartTag>
    </w:p>
    <w:p w14:paraId="54F68205" w14:textId="08A42393" w:rsidR="00EB4E8A" w:rsidRDefault="00E575C1" w:rsidP="001D4E71">
      <w:pPr>
        <w:numPr>
          <w:ilvl w:val="0"/>
          <w:numId w:val="38"/>
        </w:numPr>
        <w:spacing w:line="240" w:lineRule="exact"/>
        <w:rPr>
          <w:rFonts w:ascii="Arial" w:hAnsi="Arial"/>
        </w:rPr>
      </w:pPr>
      <w:r>
        <w:rPr>
          <w:rFonts w:ascii="Arial" w:hAnsi="Arial"/>
        </w:rPr>
        <w:t xml:space="preserve">ED, pp. 61-82, </w:t>
      </w:r>
    </w:p>
    <w:p w14:paraId="37C5AB97" w14:textId="77777777" w:rsidR="00790EC9" w:rsidRDefault="00790EC9" w:rsidP="00790EC9">
      <w:pPr>
        <w:spacing w:line="240" w:lineRule="exact"/>
        <w:ind w:left="720"/>
        <w:rPr>
          <w:rFonts w:ascii="Arial" w:hAnsi="Arial"/>
        </w:rPr>
      </w:pPr>
    </w:p>
    <w:p w14:paraId="4BB7E6BC" w14:textId="12542CB2" w:rsidR="008B4324" w:rsidRDefault="008B4324" w:rsidP="00D60952">
      <w:pPr>
        <w:pBdr>
          <w:top w:val="single" w:sz="12" w:space="1" w:color="auto"/>
        </w:pBdr>
        <w:spacing w:line="240" w:lineRule="exact"/>
        <w:rPr>
          <w:rFonts w:ascii="Arial" w:hAnsi="Arial"/>
          <w:b/>
        </w:rPr>
      </w:pPr>
    </w:p>
    <w:p w14:paraId="47D5349E" w14:textId="385634A5" w:rsidR="00D60952" w:rsidRDefault="002B5303" w:rsidP="00790EC9">
      <w:pPr>
        <w:rPr>
          <w:rFonts w:ascii="Arial" w:hAnsi="Arial"/>
          <w:b/>
        </w:rPr>
      </w:pPr>
      <w:r>
        <w:rPr>
          <w:rFonts w:ascii="Arial" w:hAnsi="Arial"/>
          <w:b/>
        </w:rPr>
        <w:t>Nov 11</w:t>
      </w:r>
      <w:r w:rsidR="002972CB">
        <w:rPr>
          <w:rFonts w:ascii="Arial" w:hAnsi="Arial"/>
          <w:b/>
        </w:rPr>
        <w:tab/>
      </w:r>
    </w:p>
    <w:p w14:paraId="76E92E8E" w14:textId="7457AD21" w:rsidR="0082094F" w:rsidRPr="003A7DDD" w:rsidRDefault="0082094F" w:rsidP="0082094F">
      <w:pPr>
        <w:rPr>
          <w:rFonts w:ascii="Arial" w:hAnsi="Arial" w:cs="Arial"/>
          <w:lang w:bidi="ar-SA"/>
        </w:rPr>
      </w:pPr>
      <w:r>
        <w:rPr>
          <w:rFonts w:ascii="Arial" w:hAnsi="Arial"/>
          <w:b/>
        </w:rPr>
        <w:t>TOPIC</w:t>
      </w:r>
      <w:r>
        <w:rPr>
          <w:rFonts w:ascii="Arial" w:hAnsi="Arial"/>
        </w:rPr>
        <w:t>:</w:t>
      </w:r>
      <w:r w:rsidRPr="0060261F">
        <w:rPr>
          <w:rFonts w:ascii="Arial" w:hAnsi="Arial"/>
        </w:rPr>
        <w:t xml:space="preserve"> </w:t>
      </w:r>
      <w:r w:rsidR="00E575C1">
        <w:rPr>
          <w:rFonts w:ascii="Arial" w:hAnsi="Arial"/>
        </w:rPr>
        <w:t>Risk Appetite &amp; Response</w:t>
      </w:r>
    </w:p>
    <w:p w14:paraId="6AABE3B6" w14:textId="77777777" w:rsidR="0082094F" w:rsidRDefault="0082094F" w:rsidP="0082094F">
      <w:pPr>
        <w:tabs>
          <w:tab w:val="left" w:pos="720"/>
          <w:tab w:val="left" w:pos="1584"/>
        </w:tabs>
        <w:spacing w:line="240" w:lineRule="exact"/>
        <w:rPr>
          <w:rFonts w:ascii="Arial" w:hAnsi="Arial"/>
          <w:b/>
        </w:rPr>
      </w:pPr>
      <w:smartTag w:uri="urn:schemas-microsoft-com:office:smarttags" w:element="place">
        <w:smartTag w:uri="urn:schemas-microsoft-com:office:smarttags" w:element="City">
          <w:r>
            <w:rPr>
              <w:rFonts w:ascii="Arial" w:hAnsi="Arial"/>
              <w:b/>
            </w:rPr>
            <w:t>READINGS</w:t>
          </w:r>
        </w:smartTag>
      </w:smartTag>
      <w:r>
        <w:rPr>
          <w:rFonts w:ascii="Arial" w:hAnsi="Arial"/>
          <w:b/>
        </w:rPr>
        <w:t>:</w:t>
      </w:r>
    </w:p>
    <w:p w14:paraId="5F4BAD22" w14:textId="640F36AC" w:rsidR="0082094F" w:rsidRDefault="00E575C1" w:rsidP="0082094F">
      <w:pPr>
        <w:numPr>
          <w:ilvl w:val="0"/>
          <w:numId w:val="9"/>
        </w:numPr>
        <w:spacing w:line="240" w:lineRule="exact"/>
        <w:rPr>
          <w:rFonts w:ascii="Arial" w:hAnsi="Arial" w:cs="Arial"/>
        </w:rPr>
      </w:pPr>
      <w:r>
        <w:rPr>
          <w:rFonts w:ascii="Arial" w:hAnsi="Arial" w:cs="Arial"/>
        </w:rPr>
        <w:t>ED, pp. 107-124</w:t>
      </w:r>
    </w:p>
    <w:p w14:paraId="276D0BC3" w14:textId="77777777" w:rsidR="00BD13CF" w:rsidRDefault="00BD13CF" w:rsidP="00BD13CF">
      <w:pPr>
        <w:spacing w:line="240" w:lineRule="exact"/>
        <w:ind w:left="720"/>
        <w:rPr>
          <w:rFonts w:ascii="Arial" w:hAnsi="Arial" w:cs="Arial"/>
        </w:rPr>
      </w:pPr>
    </w:p>
    <w:p w14:paraId="292E5521" w14:textId="77777777" w:rsidR="00790EC9" w:rsidRDefault="00790EC9" w:rsidP="00790EC9">
      <w:pPr>
        <w:pBdr>
          <w:top w:val="single" w:sz="12" w:space="1" w:color="auto"/>
        </w:pBdr>
        <w:shd w:val="clear" w:color="auto" w:fill="DDD9C3" w:themeFill="background2" w:themeFillShade="E6"/>
        <w:spacing w:line="240" w:lineRule="exact"/>
        <w:rPr>
          <w:rFonts w:ascii="Arial" w:hAnsi="Arial"/>
          <w:b/>
        </w:rPr>
      </w:pPr>
    </w:p>
    <w:p w14:paraId="58EEB924" w14:textId="69D8E6A0" w:rsidR="00790EC9" w:rsidRPr="00790EC9" w:rsidRDefault="00790EC9" w:rsidP="00790EC9">
      <w:pPr>
        <w:pBdr>
          <w:top w:val="single" w:sz="12" w:space="1" w:color="auto"/>
        </w:pBdr>
        <w:shd w:val="clear" w:color="auto" w:fill="DDD9C3" w:themeFill="background2" w:themeFillShade="E6"/>
        <w:spacing w:line="240" w:lineRule="exact"/>
        <w:rPr>
          <w:rFonts w:ascii="Arial" w:hAnsi="Arial"/>
          <w:b/>
        </w:rPr>
      </w:pPr>
      <w:r>
        <w:rPr>
          <w:rFonts w:ascii="Arial" w:hAnsi="Arial"/>
          <w:b/>
        </w:rPr>
        <w:t>Nov</w:t>
      </w:r>
      <w:r w:rsidRPr="00790EC9">
        <w:rPr>
          <w:rFonts w:ascii="Arial" w:hAnsi="Arial"/>
          <w:b/>
        </w:rPr>
        <w:t xml:space="preserve"> 1</w:t>
      </w:r>
      <w:r w:rsidR="002B5303">
        <w:rPr>
          <w:rFonts w:ascii="Arial" w:hAnsi="Arial"/>
          <w:b/>
        </w:rPr>
        <w:t>8</w:t>
      </w:r>
      <w:proofErr w:type="gramStart"/>
      <w:r>
        <w:rPr>
          <w:rFonts w:ascii="Arial" w:hAnsi="Arial"/>
          <w:b/>
        </w:rPr>
        <w:tab/>
        <w:t xml:space="preserve">  EXAM</w:t>
      </w:r>
      <w:proofErr w:type="gramEnd"/>
      <w:r>
        <w:rPr>
          <w:rFonts w:ascii="Arial" w:hAnsi="Arial"/>
          <w:b/>
        </w:rPr>
        <w:t xml:space="preserve"> I</w:t>
      </w:r>
    </w:p>
    <w:p w14:paraId="26C29829" w14:textId="0F3389E3" w:rsidR="00790EC9" w:rsidRPr="00790EC9" w:rsidRDefault="00790EC9" w:rsidP="00790EC9">
      <w:pPr>
        <w:shd w:val="clear" w:color="auto" w:fill="DDD9C3" w:themeFill="background2" w:themeFillShade="E6"/>
        <w:spacing w:line="240" w:lineRule="exact"/>
        <w:rPr>
          <w:rFonts w:ascii="Arial" w:hAnsi="Arial"/>
        </w:rPr>
      </w:pPr>
    </w:p>
    <w:p w14:paraId="58F61A0E" w14:textId="14BB5E70" w:rsidR="00D60952" w:rsidRPr="00DB55B8" w:rsidRDefault="002B5303" w:rsidP="00D60952">
      <w:pPr>
        <w:pBdr>
          <w:top w:val="single" w:sz="12" w:space="1" w:color="auto"/>
        </w:pBdr>
        <w:spacing w:line="240" w:lineRule="exact"/>
        <w:rPr>
          <w:rFonts w:ascii="Arial" w:hAnsi="Arial"/>
          <w:b/>
        </w:rPr>
      </w:pPr>
      <w:r>
        <w:rPr>
          <w:rFonts w:ascii="Arial" w:hAnsi="Arial"/>
          <w:b/>
        </w:rPr>
        <w:t>Nov 25</w:t>
      </w:r>
      <w:r w:rsidR="00350A59">
        <w:rPr>
          <w:rFonts w:ascii="Arial" w:hAnsi="Arial"/>
          <w:b/>
        </w:rPr>
        <w:tab/>
      </w:r>
      <w:r w:rsidR="00BD13CF">
        <w:rPr>
          <w:rFonts w:ascii="Arial" w:hAnsi="Arial"/>
          <w:b/>
        </w:rPr>
        <w:t xml:space="preserve"> </w:t>
      </w:r>
    </w:p>
    <w:p w14:paraId="4A28AF2E" w14:textId="43DBCA87" w:rsidR="0082094F" w:rsidRDefault="0082094F" w:rsidP="0082094F">
      <w:pPr>
        <w:spacing w:line="240" w:lineRule="exact"/>
        <w:rPr>
          <w:rFonts w:ascii="Arial" w:hAnsi="Arial"/>
        </w:rPr>
      </w:pPr>
      <w:r>
        <w:rPr>
          <w:rFonts w:ascii="Arial" w:hAnsi="Arial"/>
          <w:b/>
        </w:rPr>
        <w:t>TOPIC</w:t>
      </w:r>
      <w:r>
        <w:rPr>
          <w:rFonts w:ascii="Arial" w:hAnsi="Arial"/>
        </w:rPr>
        <w:t>:</w:t>
      </w:r>
      <w:r w:rsidR="00E575C1">
        <w:rPr>
          <w:rFonts w:ascii="Arial" w:hAnsi="Arial"/>
        </w:rPr>
        <w:tab/>
        <w:t>Could risk management have made a difference?  (Video case)</w:t>
      </w:r>
    </w:p>
    <w:p w14:paraId="15D55B12" w14:textId="77777777" w:rsidR="0082094F" w:rsidRDefault="0082094F" w:rsidP="0082094F">
      <w:pPr>
        <w:spacing w:line="240" w:lineRule="exact"/>
        <w:rPr>
          <w:rFonts w:ascii="Arial" w:hAnsi="Arial"/>
        </w:rPr>
      </w:pPr>
      <w:smartTag w:uri="urn:schemas-microsoft-com:office:smarttags" w:element="place">
        <w:smartTag w:uri="urn:schemas-microsoft-com:office:smarttags" w:element="City">
          <w:r>
            <w:rPr>
              <w:rFonts w:ascii="Arial" w:hAnsi="Arial"/>
              <w:b/>
            </w:rPr>
            <w:t>READINGS</w:t>
          </w:r>
        </w:smartTag>
      </w:smartTag>
    </w:p>
    <w:p w14:paraId="78EEE8C1" w14:textId="5DF866F5" w:rsidR="004468D1" w:rsidRDefault="004C1523" w:rsidP="006C6B68">
      <w:pPr>
        <w:spacing w:line="240" w:lineRule="exact"/>
        <w:ind w:left="720"/>
        <w:rPr>
          <w:rFonts w:ascii="Arial" w:hAnsi="Arial"/>
        </w:rPr>
      </w:pPr>
      <w:r>
        <w:rPr>
          <w:rFonts w:ascii="Arial" w:hAnsi="Arial"/>
        </w:rPr>
        <w:t>None</w:t>
      </w:r>
      <w:r w:rsidR="004468D1" w:rsidRPr="00690E3A">
        <w:rPr>
          <w:rFonts w:ascii="Arial" w:hAnsi="Arial"/>
        </w:rPr>
        <w:t>.</w:t>
      </w:r>
    </w:p>
    <w:p w14:paraId="1D92A0DE" w14:textId="77777777" w:rsidR="004C1523" w:rsidRPr="00690E3A" w:rsidRDefault="004C1523" w:rsidP="006C6B68">
      <w:pPr>
        <w:spacing w:line="240" w:lineRule="exact"/>
        <w:ind w:left="720"/>
        <w:rPr>
          <w:rFonts w:ascii="Arial" w:hAnsi="Arial"/>
        </w:rPr>
      </w:pPr>
    </w:p>
    <w:p w14:paraId="09AA4D73" w14:textId="20C38CF3" w:rsidR="00EE4C60" w:rsidRPr="00EE4C60" w:rsidRDefault="002B5303" w:rsidP="00EE4C60">
      <w:pPr>
        <w:pBdr>
          <w:top w:val="single" w:sz="12" w:space="1" w:color="auto"/>
        </w:pBdr>
        <w:spacing w:line="240" w:lineRule="exact"/>
        <w:rPr>
          <w:rFonts w:ascii="Arial" w:hAnsi="Arial"/>
          <w:b/>
        </w:rPr>
      </w:pPr>
      <w:r>
        <w:rPr>
          <w:rFonts w:ascii="Arial" w:hAnsi="Arial"/>
          <w:b/>
        </w:rPr>
        <w:t>Dec 2</w:t>
      </w:r>
      <w:r w:rsidR="006C6B68">
        <w:rPr>
          <w:rFonts w:ascii="Arial" w:hAnsi="Arial"/>
          <w:b/>
        </w:rPr>
        <w:t xml:space="preserve">  </w:t>
      </w:r>
    </w:p>
    <w:p w14:paraId="6657DFAC" w14:textId="29BD1BC5" w:rsidR="00121DCB" w:rsidRPr="00D06962" w:rsidRDefault="00121DCB" w:rsidP="00121DCB">
      <w:pPr>
        <w:spacing w:line="240" w:lineRule="exact"/>
        <w:rPr>
          <w:rFonts w:ascii="Arial" w:hAnsi="Arial"/>
          <w:b/>
        </w:rPr>
      </w:pPr>
      <w:r w:rsidRPr="00D06962">
        <w:rPr>
          <w:rFonts w:ascii="Arial" w:hAnsi="Arial"/>
          <w:b/>
        </w:rPr>
        <w:t>TOPIC:</w:t>
      </w:r>
      <w:r w:rsidRPr="00D06962">
        <w:rPr>
          <w:rFonts w:ascii="Arial" w:hAnsi="Arial"/>
          <w:b/>
        </w:rPr>
        <w:tab/>
      </w:r>
      <w:r w:rsidR="00E575C1">
        <w:rPr>
          <w:rFonts w:ascii="Arial" w:hAnsi="Arial"/>
        </w:rPr>
        <w:t>Monitoring Risk, Key Risk Indicators.</w:t>
      </w:r>
    </w:p>
    <w:p w14:paraId="542CBE39" w14:textId="77777777" w:rsidR="00121DCB" w:rsidRPr="00D06962" w:rsidRDefault="00121DCB" w:rsidP="00121DCB">
      <w:pPr>
        <w:spacing w:line="240" w:lineRule="exact"/>
        <w:rPr>
          <w:rFonts w:ascii="Arial" w:hAnsi="Arial"/>
          <w:b/>
        </w:rPr>
      </w:pPr>
      <w:r w:rsidRPr="00D06962">
        <w:rPr>
          <w:rFonts w:ascii="Arial" w:hAnsi="Arial"/>
          <w:b/>
        </w:rPr>
        <w:t>READINGS</w:t>
      </w:r>
      <w:r w:rsidRPr="00D06962">
        <w:rPr>
          <w:rFonts w:ascii="Arial" w:hAnsi="Arial"/>
          <w:b/>
        </w:rPr>
        <w:tab/>
      </w:r>
    </w:p>
    <w:p w14:paraId="467A1582" w14:textId="7CEF3E50" w:rsidR="00865F25" w:rsidRDefault="00E575C1" w:rsidP="00121DCB">
      <w:pPr>
        <w:numPr>
          <w:ilvl w:val="0"/>
          <w:numId w:val="40"/>
        </w:numPr>
        <w:spacing w:line="240" w:lineRule="exact"/>
        <w:rPr>
          <w:rFonts w:ascii="Arial" w:hAnsi="Arial"/>
        </w:rPr>
      </w:pPr>
      <w:r>
        <w:rPr>
          <w:rFonts w:ascii="Arial" w:hAnsi="Arial" w:hint="eastAsia"/>
        </w:rPr>
        <w:t>ED, pp 83-96</w:t>
      </w:r>
    </w:p>
    <w:p w14:paraId="0136896A" w14:textId="73695C84" w:rsidR="00E575C1" w:rsidRDefault="00E575C1" w:rsidP="00121DCB">
      <w:pPr>
        <w:numPr>
          <w:ilvl w:val="0"/>
          <w:numId w:val="40"/>
        </w:numPr>
        <w:spacing w:line="240" w:lineRule="exact"/>
        <w:rPr>
          <w:rFonts w:ascii="Arial" w:hAnsi="Arial"/>
        </w:rPr>
      </w:pPr>
      <w:r>
        <w:rPr>
          <w:rFonts w:ascii="Arial" w:hAnsi="Arial"/>
        </w:rPr>
        <w:t>COSO Monitoring Guide</w:t>
      </w:r>
    </w:p>
    <w:p w14:paraId="0CA34D1D" w14:textId="77777777" w:rsidR="004C1523" w:rsidRPr="00BD13CF" w:rsidRDefault="004C1523" w:rsidP="004C1523">
      <w:pPr>
        <w:pStyle w:val="af"/>
        <w:numPr>
          <w:ilvl w:val="0"/>
          <w:numId w:val="40"/>
        </w:numPr>
        <w:spacing w:line="240" w:lineRule="exact"/>
        <w:rPr>
          <w:rFonts w:ascii="Arial" w:hAnsi="Arial"/>
          <w:b/>
        </w:rPr>
      </w:pPr>
      <w:r w:rsidRPr="00E51F16">
        <w:rPr>
          <w:rFonts w:ascii="Arial" w:hAnsi="Arial" w:cs="Arial"/>
        </w:rPr>
        <w:t>Waring, C. “Measuring Ethical Climate Risk,” The Internal Auditor, December 2004, pp. 71-85</w:t>
      </w:r>
    </w:p>
    <w:p w14:paraId="23387B2F" w14:textId="11F3EC3B" w:rsidR="004C1523" w:rsidRDefault="004C1523" w:rsidP="00406179">
      <w:pPr>
        <w:spacing w:line="240" w:lineRule="exact"/>
        <w:rPr>
          <w:rFonts w:ascii="Arial" w:hAnsi="Arial"/>
        </w:rPr>
      </w:pPr>
    </w:p>
    <w:p w14:paraId="78464B44" w14:textId="146D73BA" w:rsidR="004C1523" w:rsidRPr="004C1523" w:rsidRDefault="004C1523" w:rsidP="004C1523">
      <w:pPr>
        <w:pBdr>
          <w:top w:val="single" w:sz="12" w:space="1" w:color="auto"/>
        </w:pBdr>
        <w:tabs>
          <w:tab w:val="left" w:pos="1584"/>
        </w:tabs>
        <w:spacing w:line="240" w:lineRule="exact"/>
        <w:rPr>
          <w:rFonts w:ascii="Arial" w:hAnsi="Arial"/>
          <w:b/>
        </w:rPr>
      </w:pPr>
      <w:r>
        <w:rPr>
          <w:rFonts w:ascii="Arial" w:hAnsi="Arial"/>
          <w:b/>
        </w:rPr>
        <w:t>Dec 9</w:t>
      </w:r>
    </w:p>
    <w:p w14:paraId="2DC4A399" w14:textId="1E3CA40B" w:rsidR="004C1523" w:rsidRPr="004C1523" w:rsidRDefault="004C1523" w:rsidP="004C1523">
      <w:pPr>
        <w:spacing w:line="240" w:lineRule="exact"/>
        <w:rPr>
          <w:rFonts w:ascii="Arial" w:hAnsi="Arial"/>
        </w:rPr>
      </w:pPr>
      <w:r>
        <w:rPr>
          <w:rFonts w:ascii="Arial" w:hAnsi="Arial"/>
          <w:b/>
        </w:rPr>
        <w:t xml:space="preserve">TOPIC: </w:t>
      </w:r>
      <w:r>
        <w:rPr>
          <w:rFonts w:ascii="Arial" w:hAnsi="Arial"/>
        </w:rPr>
        <w:t>Communicating Risk to the Board/Evaluating ERM effectiveness</w:t>
      </w:r>
      <w:r>
        <w:rPr>
          <w:rFonts w:ascii="Arial" w:hAnsi="Arial"/>
        </w:rPr>
        <w:tab/>
      </w:r>
    </w:p>
    <w:p w14:paraId="6BC4F14E" w14:textId="77777777" w:rsidR="004C1523" w:rsidRDefault="004C1523" w:rsidP="004C1523">
      <w:pPr>
        <w:spacing w:line="240" w:lineRule="exact"/>
        <w:rPr>
          <w:rFonts w:ascii="Arial" w:hAnsi="Arial"/>
          <w:b/>
        </w:rPr>
      </w:pPr>
    </w:p>
    <w:p w14:paraId="7D6A3D89" w14:textId="77777777" w:rsidR="004C1523" w:rsidRDefault="004C1523" w:rsidP="004C1523">
      <w:pPr>
        <w:spacing w:line="240" w:lineRule="exact"/>
        <w:rPr>
          <w:rFonts w:ascii="Arial" w:hAnsi="Arial"/>
          <w:b/>
        </w:rPr>
      </w:pPr>
      <w:r>
        <w:rPr>
          <w:rFonts w:ascii="Arial" w:hAnsi="Arial"/>
          <w:b/>
        </w:rPr>
        <w:t>READINGS</w:t>
      </w:r>
    </w:p>
    <w:p w14:paraId="65DCB584" w14:textId="60E2098E" w:rsidR="00406179" w:rsidRDefault="00406179" w:rsidP="004C1523">
      <w:pPr>
        <w:pStyle w:val="af"/>
        <w:numPr>
          <w:ilvl w:val="0"/>
          <w:numId w:val="36"/>
        </w:numPr>
        <w:spacing w:line="240" w:lineRule="exact"/>
        <w:rPr>
          <w:rFonts w:ascii="Arial" w:hAnsi="Arial" w:cs="Arial"/>
          <w:color w:val="000000"/>
        </w:rPr>
      </w:pPr>
      <w:r>
        <w:rPr>
          <w:rFonts w:ascii="Arial" w:hAnsi="Arial" w:cs="Arial"/>
          <w:color w:val="000000"/>
        </w:rPr>
        <w:t>ED, pp. 97-101</w:t>
      </w:r>
    </w:p>
    <w:p w14:paraId="6FC7A8E1" w14:textId="76B055E9" w:rsidR="004C1523" w:rsidRPr="00423A41" w:rsidRDefault="004C1523" w:rsidP="004C1523">
      <w:pPr>
        <w:pStyle w:val="af"/>
        <w:numPr>
          <w:ilvl w:val="0"/>
          <w:numId w:val="36"/>
        </w:numPr>
        <w:spacing w:line="240" w:lineRule="exact"/>
        <w:rPr>
          <w:rFonts w:ascii="Arial" w:hAnsi="Arial" w:cs="Arial"/>
          <w:color w:val="000000"/>
        </w:rPr>
      </w:pPr>
      <w:proofErr w:type="spellStart"/>
      <w:r w:rsidRPr="00423A41">
        <w:rPr>
          <w:rFonts w:ascii="Arial" w:hAnsi="Arial" w:cs="Arial"/>
          <w:color w:val="000000"/>
        </w:rPr>
        <w:t>Kuzma</w:t>
      </w:r>
      <w:proofErr w:type="spellEnd"/>
      <w:r w:rsidRPr="00423A41">
        <w:rPr>
          <w:rFonts w:ascii="Arial" w:hAnsi="Arial" w:cs="Arial"/>
          <w:color w:val="000000"/>
        </w:rPr>
        <w:t xml:space="preserve">, S., D. </w:t>
      </w:r>
      <w:proofErr w:type="spellStart"/>
      <w:r w:rsidRPr="00423A41">
        <w:rPr>
          <w:rFonts w:ascii="Arial" w:hAnsi="Arial" w:cs="Arial"/>
          <w:color w:val="000000"/>
        </w:rPr>
        <w:t>Torpey</w:t>
      </w:r>
      <w:proofErr w:type="spellEnd"/>
      <w:r w:rsidRPr="00423A41">
        <w:rPr>
          <w:rFonts w:ascii="Arial" w:hAnsi="Arial" w:cs="Arial"/>
          <w:color w:val="000000"/>
        </w:rPr>
        <w:t xml:space="preserve">, and V. Walden, “Evaluating Third-party Due Diligence,” </w:t>
      </w:r>
      <w:r w:rsidRPr="00423A41">
        <w:rPr>
          <w:rFonts w:ascii="Arial" w:hAnsi="Arial"/>
          <w:i/>
        </w:rPr>
        <w:t>The Internal Auditor</w:t>
      </w:r>
      <w:r w:rsidRPr="00423A41">
        <w:rPr>
          <w:rFonts w:ascii="Arial" w:hAnsi="Arial"/>
        </w:rPr>
        <w:t>, June 2012, pp. 43-47.</w:t>
      </w:r>
    </w:p>
    <w:p w14:paraId="685B8921" w14:textId="241E5542" w:rsidR="004C1523" w:rsidRPr="00406179" w:rsidRDefault="004C1523" w:rsidP="00406179">
      <w:pPr>
        <w:pStyle w:val="af"/>
        <w:numPr>
          <w:ilvl w:val="0"/>
          <w:numId w:val="36"/>
        </w:numPr>
        <w:spacing w:line="240" w:lineRule="exact"/>
        <w:rPr>
          <w:rFonts w:ascii="Arial" w:hAnsi="Arial" w:cs="Arial"/>
          <w:color w:val="000000"/>
        </w:rPr>
      </w:pPr>
      <w:r w:rsidRPr="00423A41">
        <w:rPr>
          <w:rFonts w:ascii="Arial" w:hAnsi="Arial"/>
        </w:rPr>
        <w:t>PG, Evaluating Ethics-related Programs and Activities, June 2012</w:t>
      </w:r>
      <w:r w:rsidRPr="00406179">
        <w:rPr>
          <w:rFonts w:ascii="Arial" w:hAnsi="Arial"/>
        </w:rPr>
        <w:t>.</w:t>
      </w:r>
    </w:p>
    <w:p w14:paraId="7C343EEF" w14:textId="77777777" w:rsidR="00406179" w:rsidRDefault="00406179" w:rsidP="00406179">
      <w:pPr>
        <w:numPr>
          <w:ilvl w:val="0"/>
          <w:numId w:val="36"/>
        </w:numPr>
        <w:spacing w:line="240" w:lineRule="exact"/>
        <w:rPr>
          <w:rFonts w:ascii="Arial" w:hAnsi="Arial"/>
        </w:rPr>
      </w:pPr>
      <w:r>
        <w:rPr>
          <w:rFonts w:ascii="Arial" w:hAnsi="Arial"/>
        </w:rPr>
        <w:t xml:space="preserve">Anderson, U. "Assessing the Merits of Alleged Wrongdoing," </w:t>
      </w:r>
      <w:r>
        <w:rPr>
          <w:rFonts w:ascii="Arial" w:hAnsi="Arial"/>
          <w:i/>
        </w:rPr>
        <w:t>Internal Auditing</w:t>
      </w:r>
      <w:r>
        <w:rPr>
          <w:rFonts w:ascii="Arial" w:hAnsi="Arial"/>
        </w:rPr>
        <w:t>, Spring 1995, pp. 48-54.</w:t>
      </w:r>
    </w:p>
    <w:p w14:paraId="7B5F4C02" w14:textId="77777777" w:rsidR="00406179" w:rsidRDefault="00406179" w:rsidP="00406179">
      <w:pPr>
        <w:numPr>
          <w:ilvl w:val="0"/>
          <w:numId w:val="36"/>
        </w:numPr>
        <w:spacing w:line="240" w:lineRule="exact"/>
        <w:rPr>
          <w:rFonts w:ascii="Arial" w:hAnsi="Arial" w:cs="Arial"/>
          <w:color w:val="000000"/>
        </w:rPr>
      </w:pPr>
      <w:r w:rsidRPr="0066471B">
        <w:rPr>
          <w:rFonts w:ascii="Arial" w:hAnsi="Arial" w:cs="Arial"/>
          <w:color w:val="000000"/>
        </w:rPr>
        <w:t>Baker, N. “See no Evil, Hear No Evil, Speak No Evil,” The Internal Auditor, April 2008, pp. 38-43.</w:t>
      </w:r>
    </w:p>
    <w:p w14:paraId="3AB99274" w14:textId="77777777" w:rsidR="00406179" w:rsidRPr="00406179" w:rsidRDefault="00406179" w:rsidP="00406179">
      <w:pPr>
        <w:pStyle w:val="af"/>
        <w:spacing w:line="240" w:lineRule="exact"/>
        <w:rPr>
          <w:rFonts w:ascii="Arial" w:hAnsi="Arial" w:cs="Arial"/>
          <w:color w:val="000000"/>
        </w:rPr>
      </w:pPr>
    </w:p>
    <w:p w14:paraId="377578B2" w14:textId="4BF62AC1" w:rsidR="00865F25" w:rsidRPr="00406179" w:rsidRDefault="00406179" w:rsidP="006C6B68">
      <w:pPr>
        <w:pBdr>
          <w:top w:val="single" w:sz="18" w:space="24" w:color="auto"/>
        </w:pBdr>
        <w:spacing w:line="240" w:lineRule="exact"/>
        <w:rPr>
          <w:rFonts w:ascii="Arial" w:hAnsi="Arial"/>
          <w:b/>
        </w:rPr>
      </w:pPr>
      <w:r>
        <w:rPr>
          <w:rFonts w:ascii="Arial" w:hAnsi="Arial" w:cs="Arial"/>
          <w:b/>
          <w:color w:val="000000"/>
        </w:rPr>
        <w:t>Dec 16</w:t>
      </w:r>
    </w:p>
    <w:p w14:paraId="3CD296B4" w14:textId="7043CE87" w:rsidR="005A32C0" w:rsidRPr="00BA2D69" w:rsidRDefault="005A32C0" w:rsidP="006C6B68">
      <w:pPr>
        <w:pBdr>
          <w:top w:val="single" w:sz="18" w:space="24" w:color="auto"/>
        </w:pBdr>
        <w:spacing w:line="240" w:lineRule="exact"/>
        <w:rPr>
          <w:rFonts w:ascii="Arial" w:hAnsi="Arial"/>
          <w:b/>
        </w:rPr>
      </w:pPr>
      <w:r w:rsidRPr="00BA2D69">
        <w:rPr>
          <w:rFonts w:ascii="Arial" w:hAnsi="Arial"/>
          <w:b/>
        </w:rPr>
        <w:t>TOPIC:</w:t>
      </w:r>
      <w:r w:rsidRPr="00BA2D69">
        <w:rPr>
          <w:rFonts w:ascii="Arial" w:hAnsi="Arial"/>
          <w:b/>
        </w:rPr>
        <w:tab/>
        <w:t xml:space="preserve"> </w:t>
      </w:r>
      <w:r w:rsidRPr="00CB53BF">
        <w:rPr>
          <w:rFonts w:ascii="Arial" w:hAnsi="Arial"/>
        </w:rPr>
        <w:t>Information Technology Risks and Controls</w:t>
      </w:r>
    </w:p>
    <w:p w14:paraId="0479BE2F" w14:textId="722453D0" w:rsidR="005A32C0" w:rsidRPr="00406179" w:rsidRDefault="005A32C0" w:rsidP="00406179">
      <w:pPr>
        <w:spacing w:line="240" w:lineRule="exact"/>
        <w:rPr>
          <w:rFonts w:ascii="Arial" w:hAnsi="Arial"/>
          <w:b/>
        </w:rPr>
      </w:pPr>
      <w:r w:rsidRPr="00BA2D69">
        <w:rPr>
          <w:rFonts w:ascii="Arial" w:hAnsi="Arial"/>
          <w:b/>
        </w:rPr>
        <w:t>READINGS</w:t>
      </w:r>
    </w:p>
    <w:p w14:paraId="4D81C200" w14:textId="77777777" w:rsidR="005A32C0" w:rsidRDefault="005A32C0" w:rsidP="005A32C0">
      <w:pPr>
        <w:numPr>
          <w:ilvl w:val="0"/>
          <w:numId w:val="22"/>
        </w:numPr>
        <w:spacing w:line="240" w:lineRule="exact"/>
        <w:rPr>
          <w:rFonts w:ascii="Arial" w:hAnsi="Arial"/>
        </w:rPr>
      </w:pPr>
      <w:r>
        <w:rPr>
          <w:rFonts w:ascii="Arial" w:hAnsi="Arial"/>
        </w:rPr>
        <w:t xml:space="preserve">Chaudhary, R. and M. Lucas, “Privacy Risk Management,” </w:t>
      </w:r>
      <w:r w:rsidRPr="008F3DC9">
        <w:rPr>
          <w:rFonts w:ascii="Arial" w:hAnsi="Arial"/>
          <w:i/>
        </w:rPr>
        <w:t>Internal Auditor</w:t>
      </w:r>
      <w:r>
        <w:rPr>
          <w:rFonts w:ascii="Arial" w:hAnsi="Arial"/>
        </w:rPr>
        <w:t>, October 2014, pp. 37-40.</w:t>
      </w:r>
    </w:p>
    <w:p w14:paraId="2151E7CA" w14:textId="77777777" w:rsidR="00865F25" w:rsidRDefault="005A32C0" w:rsidP="00865F25">
      <w:pPr>
        <w:numPr>
          <w:ilvl w:val="0"/>
          <w:numId w:val="22"/>
        </w:numPr>
        <w:spacing w:line="240" w:lineRule="exact"/>
        <w:rPr>
          <w:rFonts w:ascii="Arial" w:hAnsi="Arial"/>
        </w:rPr>
      </w:pPr>
      <w:r>
        <w:rPr>
          <w:rFonts w:ascii="Arial" w:hAnsi="Arial"/>
        </w:rPr>
        <w:t xml:space="preserve">Rai, S. and S. Mar, “Cybersecurity and the Board,” </w:t>
      </w:r>
      <w:r w:rsidRPr="008F3DC9">
        <w:rPr>
          <w:rFonts w:ascii="Arial" w:hAnsi="Arial"/>
          <w:i/>
        </w:rPr>
        <w:t>Internal Auditor</w:t>
      </w:r>
      <w:r>
        <w:rPr>
          <w:rFonts w:ascii="Arial" w:hAnsi="Arial"/>
        </w:rPr>
        <w:t>, December 2014, pp. 21-22.</w:t>
      </w:r>
    </w:p>
    <w:p w14:paraId="1DE53808" w14:textId="77777777" w:rsidR="00BD13CF" w:rsidRPr="00865F25" w:rsidRDefault="00BD13CF" w:rsidP="00BD13CF">
      <w:pPr>
        <w:spacing w:line="240" w:lineRule="exact"/>
        <w:ind w:left="720"/>
        <w:rPr>
          <w:rFonts w:ascii="Arial" w:hAnsi="Arial"/>
        </w:rPr>
      </w:pPr>
    </w:p>
    <w:p w14:paraId="77ECFC48" w14:textId="1D5F9269" w:rsidR="00D60952" w:rsidRDefault="00406179" w:rsidP="00BD13CF">
      <w:pPr>
        <w:pBdr>
          <w:top w:val="single" w:sz="12" w:space="1" w:color="auto"/>
        </w:pBdr>
        <w:tabs>
          <w:tab w:val="left" w:pos="1584"/>
        </w:tabs>
        <w:spacing w:line="240" w:lineRule="exact"/>
        <w:rPr>
          <w:rFonts w:ascii="Arial" w:hAnsi="Arial"/>
          <w:b/>
        </w:rPr>
      </w:pPr>
      <w:r>
        <w:rPr>
          <w:rFonts w:ascii="Arial" w:hAnsi="Arial"/>
          <w:b/>
        </w:rPr>
        <w:t>Dec 23</w:t>
      </w:r>
    </w:p>
    <w:p w14:paraId="52C1A3FA" w14:textId="0482A4DC" w:rsidR="00DC5106" w:rsidRDefault="00DC5106" w:rsidP="00DC5106">
      <w:pPr>
        <w:spacing w:line="240" w:lineRule="exact"/>
        <w:rPr>
          <w:rFonts w:ascii="Arial" w:hAnsi="Arial"/>
        </w:rPr>
      </w:pPr>
      <w:r>
        <w:rPr>
          <w:rFonts w:ascii="Arial" w:hAnsi="Arial"/>
          <w:b/>
        </w:rPr>
        <w:t>TOPIC</w:t>
      </w:r>
      <w:r>
        <w:rPr>
          <w:rFonts w:ascii="Arial" w:hAnsi="Arial"/>
        </w:rPr>
        <w:t>:</w:t>
      </w:r>
      <w:r>
        <w:rPr>
          <w:rFonts w:ascii="Arial" w:hAnsi="Arial"/>
        </w:rPr>
        <w:tab/>
      </w:r>
      <w:r w:rsidR="005823CA">
        <w:rPr>
          <w:rFonts w:ascii="Arial" w:hAnsi="Arial"/>
        </w:rPr>
        <w:t>Current Risks Faced by</w:t>
      </w:r>
      <w:r w:rsidRPr="00C71895">
        <w:rPr>
          <w:rFonts w:ascii="Arial" w:hAnsi="Arial"/>
        </w:rPr>
        <w:t xml:space="preserve"> Financial </w:t>
      </w:r>
      <w:r w:rsidR="005823CA">
        <w:rPr>
          <w:rFonts w:ascii="Arial" w:hAnsi="Arial"/>
        </w:rPr>
        <w:t>Institutions</w:t>
      </w:r>
    </w:p>
    <w:p w14:paraId="2E8DBC44" w14:textId="77777777" w:rsidR="00EF3E9C" w:rsidRDefault="00EF3E9C" w:rsidP="00DC5106">
      <w:pPr>
        <w:spacing w:line="240" w:lineRule="exact"/>
        <w:rPr>
          <w:rFonts w:ascii="Arial" w:hAnsi="Arial"/>
        </w:rPr>
      </w:pPr>
    </w:p>
    <w:p w14:paraId="23B56E4C" w14:textId="038EEFDE" w:rsidR="00865F25" w:rsidRPr="00EF3E9C" w:rsidRDefault="004C1523" w:rsidP="00DC5106">
      <w:pPr>
        <w:spacing w:line="240" w:lineRule="exact"/>
        <w:rPr>
          <w:rFonts w:ascii="Arial" w:hAnsi="Arial"/>
          <w:b/>
        </w:rPr>
      </w:pPr>
      <w:r>
        <w:rPr>
          <w:rFonts w:ascii="Arial" w:hAnsi="Arial"/>
          <w:b/>
        </w:rPr>
        <w:t xml:space="preserve">Group </w:t>
      </w:r>
      <w:r w:rsidR="00865F25" w:rsidRPr="00EF3E9C">
        <w:rPr>
          <w:rFonts w:ascii="Arial" w:hAnsi="Arial"/>
          <w:b/>
        </w:rPr>
        <w:t>presentation</w:t>
      </w:r>
      <w:r>
        <w:rPr>
          <w:rFonts w:ascii="Arial" w:hAnsi="Arial"/>
          <w:b/>
        </w:rPr>
        <w:t>s</w:t>
      </w:r>
    </w:p>
    <w:p w14:paraId="4E53DABE" w14:textId="77777777" w:rsidR="00EF3E9C" w:rsidRDefault="00EF3E9C" w:rsidP="00DC5106">
      <w:pPr>
        <w:spacing w:line="240" w:lineRule="exact"/>
        <w:rPr>
          <w:rFonts w:ascii="Arial" w:hAnsi="Arial"/>
          <w:b/>
        </w:rPr>
      </w:pPr>
    </w:p>
    <w:p w14:paraId="69BC8A34" w14:textId="0E7C36ED" w:rsidR="00DC5106" w:rsidRDefault="00DC5106" w:rsidP="00DC5106">
      <w:pPr>
        <w:spacing w:line="240" w:lineRule="exact"/>
        <w:rPr>
          <w:rFonts w:ascii="Arial" w:hAnsi="Arial"/>
          <w:b/>
        </w:rPr>
      </w:pPr>
      <w:r>
        <w:rPr>
          <w:rFonts w:ascii="Arial" w:hAnsi="Arial"/>
          <w:b/>
        </w:rPr>
        <w:t>READINGS</w:t>
      </w:r>
    </w:p>
    <w:p w14:paraId="5B3A293B" w14:textId="77777777" w:rsidR="00BD13CF" w:rsidRDefault="00DC5106" w:rsidP="00BD13CF">
      <w:pPr>
        <w:pStyle w:val="af"/>
        <w:numPr>
          <w:ilvl w:val="0"/>
          <w:numId w:val="34"/>
        </w:numPr>
        <w:spacing w:line="240" w:lineRule="exact"/>
        <w:rPr>
          <w:rFonts w:ascii="Arial" w:hAnsi="Arial"/>
        </w:rPr>
      </w:pPr>
      <w:r>
        <w:rPr>
          <w:rFonts w:ascii="Arial" w:hAnsi="Arial"/>
        </w:rPr>
        <w:t xml:space="preserve">Burke, J. and S. Jameson, </w:t>
      </w:r>
      <w:r w:rsidRPr="00C71895">
        <w:rPr>
          <w:rFonts w:ascii="Arial" w:hAnsi="Arial"/>
        </w:rPr>
        <w:t>A Global View of Financial</w:t>
      </w:r>
      <w:r>
        <w:rPr>
          <w:rFonts w:ascii="Arial" w:hAnsi="Arial"/>
        </w:rPr>
        <w:t xml:space="preserve"> </w:t>
      </w:r>
      <w:r w:rsidRPr="00C71895">
        <w:rPr>
          <w:rFonts w:ascii="Arial" w:hAnsi="Arial"/>
        </w:rPr>
        <w:t>Services</w:t>
      </w:r>
      <w:r>
        <w:rPr>
          <w:rFonts w:ascii="Arial" w:hAnsi="Arial"/>
        </w:rPr>
        <w:t>:</w:t>
      </w:r>
      <w:r w:rsidRPr="00C71895">
        <w:rPr>
          <w:rFonts w:ascii="Arial" w:hAnsi="Arial"/>
        </w:rPr>
        <w:t xml:space="preserve"> Auditing</w:t>
      </w:r>
      <w:r>
        <w:rPr>
          <w:rFonts w:ascii="Arial" w:hAnsi="Arial"/>
        </w:rPr>
        <w:t xml:space="preserve"> </w:t>
      </w:r>
      <w:r w:rsidRPr="00C71895">
        <w:rPr>
          <w:rFonts w:ascii="Arial" w:hAnsi="Arial"/>
        </w:rPr>
        <w:t>Challenges, Opportunities, and the Future</w:t>
      </w:r>
      <w:r>
        <w:rPr>
          <w:rFonts w:ascii="Arial" w:hAnsi="Arial"/>
        </w:rPr>
        <w:t>, The IIA Research Foundation, 2015.</w:t>
      </w:r>
    </w:p>
    <w:p w14:paraId="3B1BB38F" w14:textId="0A28D32D" w:rsidR="0092145C" w:rsidRPr="00BD13CF" w:rsidRDefault="00DC5106" w:rsidP="00BD13CF">
      <w:pPr>
        <w:pStyle w:val="af"/>
        <w:numPr>
          <w:ilvl w:val="0"/>
          <w:numId w:val="34"/>
        </w:numPr>
        <w:spacing w:line="240" w:lineRule="exact"/>
        <w:rPr>
          <w:rFonts w:ascii="Arial" w:hAnsi="Arial"/>
        </w:rPr>
      </w:pPr>
      <w:r w:rsidRPr="00BD13CF">
        <w:rPr>
          <w:rFonts w:ascii="Arial" w:hAnsi="Arial"/>
          <w:bCs/>
        </w:rPr>
        <w:t xml:space="preserve">U.S. Federal Reserve, Supplemental Policy Statement on the Internal Audit Function and Its </w:t>
      </w:r>
      <w:r w:rsidR="00BD13CF" w:rsidRPr="00BD13CF">
        <w:rPr>
          <w:rFonts w:ascii="Arial" w:hAnsi="Arial"/>
          <w:bCs/>
        </w:rPr>
        <w:t>Outsourcing, January 23, 2013.</w:t>
      </w:r>
    </w:p>
    <w:p w14:paraId="64232F82" w14:textId="77777777" w:rsidR="00BD13CF" w:rsidRPr="00A10DB6" w:rsidRDefault="00BD13CF" w:rsidP="00BD13CF">
      <w:pPr>
        <w:pStyle w:val="af"/>
        <w:spacing w:line="240" w:lineRule="exact"/>
        <w:rPr>
          <w:rFonts w:ascii="Arial" w:hAnsi="Arial" w:cs="Arial"/>
          <w:color w:val="000000"/>
        </w:rPr>
      </w:pPr>
    </w:p>
    <w:p w14:paraId="1B320B7B" w14:textId="77777777" w:rsidR="00BD13CF" w:rsidRPr="00E51F16" w:rsidRDefault="00BD13CF" w:rsidP="00BD13CF">
      <w:pPr>
        <w:pStyle w:val="af"/>
        <w:spacing w:line="240" w:lineRule="exact"/>
        <w:rPr>
          <w:rFonts w:ascii="Arial" w:hAnsi="Arial"/>
          <w:b/>
        </w:rPr>
      </w:pPr>
    </w:p>
    <w:p w14:paraId="4275D202" w14:textId="7042EC18" w:rsidR="00273707" w:rsidRDefault="002B5303" w:rsidP="004C1523">
      <w:pPr>
        <w:pBdr>
          <w:top w:val="single" w:sz="12" w:space="1" w:color="auto"/>
        </w:pBdr>
        <w:rPr>
          <w:rFonts w:ascii="Arial" w:hAnsi="Arial"/>
          <w:b/>
        </w:rPr>
      </w:pPr>
      <w:r>
        <w:rPr>
          <w:rFonts w:ascii="Arial" w:hAnsi="Arial"/>
          <w:b/>
        </w:rPr>
        <w:t>Dec 30</w:t>
      </w:r>
    </w:p>
    <w:p w14:paraId="58168000" w14:textId="77777777" w:rsidR="00EF3E9C" w:rsidRDefault="00EF3E9C" w:rsidP="00273707">
      <w:pPr>
        <w:shd w:val="clear" w:color="auto" w:fill="FFFFFF" w:themeFill="background1"/>
        <w:spacing w:line="240" w:lineRule="exact"/>
        <w:rPr>
          <w:rFonts w:ascii="Arial" w:hAnsi="Arial"/>
          <w:b/>
        </w:rPr>
      </w:pPr>
    </w:p>
    <w:p w14:paraId="2A4B67E0" w14:textId="19484C95" w:rsidR="00865F25" w:rsidRPr="00EA1BA1" w:rsidRDefault="004C1523" w:rsidP="00273707">
      <w:pPr>
        <w:shd w:val="clear" w:color="auto" w:fill="FFFFFF" w:themeFill="background1"/>
        <w:spacing w:line="240" w:lineRule="exact"/>
        <w:rPr>
          <w:rFonts w:ascii="Arial" w:hAnsi="Arial"/>
          <w:b/>
        </w:rPr>
      </w:pPr>
      <w:r>
        <w:rPr>
          <w:rFonts w:ascii="Arial" w:hAnsi="Arial"/>
          <w:b/>
        </w:rPr>
        <w:t xml:space="preserve">Group </w:t>
      </w:r>
      <w:r w:rsidR="00865F25">
        <w:rPr>
          <w:rFonts w:ascii="Arial" w:hAnsi="Arial"/>
          <w:b/>
        </w:rPr>
        <w:t>Presentation</w:t>
      </w:r>
      <w:r>
        <w:rPr>
          <w:rFonts w:ascii="Arial" w:hAnsi="Arial"/>
          <w:b/>
        </w:rPr>
        <w:t>s</w:t>
      </w:r>
    </w:p>
    <w:p w14:paraId="1FA822B7" w14:textId="77777777" w:rsidR="00EF3E9C" w:rsidRDefault="00EF3E9C" w:rsidP="00273707">
      <w:pPr>
        <w:tabs>
          <w:tab w:val="left" w:pos="720"/>
          <w:tab w:val="left" w:pos="1584"/>
        </w:tabs>
        <w:spacing w:line="240" w:lineRule="exact"/>
        <w:rPr>
          <w:rFonts w:ascii="Arial" w:hAnsi="Arial"/>
          <w:b/>
        </w:rPr>
      </w:pPr>
    </w:p>
    <w:p w14:paraId="168D0B6C" w14:textId="77777777" w:rsidR="00BD13CF" w:rsidRDefault="00BD13CF" w:rsidP="00BD13CF">
      <w:pPr>
        <w:spacing w:line="240" w:lineRule="exact"/>
        <w:ind w:left="720"/>
        <w:rPr>
          <w:rFonts w:ascii="Arial" w:hAnsi="Arial" w:cs="Arial"/>
          <w:color w:val="000000"/>
        </w:rPr>
      </w:pPr>
    </w:p>
    <w:p w14:paraId="03395100" w14:textId="7374F490" w:rsidR="00D60952" w:rsidRDefault="002B5303" w:rsidP="00865F25">
      <w:pPr>
        <w:pBdr>
          <w:top w:val="single" w:sz="18" w:space="1" w:color="auto"/>
        </w:pBdr>
        <w:shd w:val="clear" w:color="auto" w:fill="B6DDE8" w:themeFill="accent5" w:themeFillTint="66"/>
        <w:tabs>
          <w:tab w:val="left" w:pos="720"/>
        </w:tabs>
        <w:spacing w:line="240" w:lineRule="exact"/>
        <w:rPr>
          <w:rFonts w:ascii="Arial" w:hAnsi="Arial"/>
          <w:b/>
        </w:rPr>
      </w:pPr>
      <w:r>
        <w:rPr>
          <w:rFonts w:ascii="Arial" w:hAnsi="Arial"/>
          <w:b/>
        </w:rPr>
        <w:t>Jan 6</w:t>
      </w:r>
      <w:r w:rsidR="00865F25">
        <w:rPr>
          <w:rFonts w:ascii="Arial" w:hAnsi="Arial" w:hint="eastAsia"/>
          <w:b/>
        </w:rPr>
        <w:t xml:space="preserve">      </w:t>
      </w:r>
      <w:r w:rsidR="00D60952" w:rsidRPr="00D845C4">
        <w:rPr>
          <w:rFonts w:ascii="Arial" w:hAnsi="Arial"/>
          <w:b/>
        </w:rPr>
        <w:t>Exam</w:t>
      </w:r>
      <w:r w:rsidR="00865F25">
        <w:rPr>
          <w:rFonts w:ascii="Arial" w:hAnsi="Arial"/>
          <w:b/>
        </w:rPr>
        <w:t xml:space="preserve"> II</w:t>
      </w:r>
    </w:p>
    <w:p w14:paraId="48E5245F" w14:textId="77777777" w:rsidR="00D60952" w:rsidRDefault="00D60952" w:rsidP="00D60952">
      <w:pPr>
        <w:pBdr>
          <w:bottom w:val="single" w:sz="12" w:space="1" w:color="auto"/>
        </w:pBdr>
        <w:shd w:val="clear" w:color="auto" w:fill="B6DDE8" w:themeFill="accent5" w:themeFillTint="66"/>
        <w:spacing w:line="240" w:lineRule="exact"/>
        <w:rPr>
          <w:rFonts w:ascii="Arial" w:hAnsi="Arial"/>
          <w:b/>
        </w:rPr>
      </w:pPr>
    </w:p>
    <w:p w14:paraId="0E98877B" w14:textId="77777777" w:rsidR="00C95AD0" w:rsidRPr="00C95AD0" w:rsidRDefault="00C95AD0" w:rsidP="00C95AD0">
      <w:pPr>
        <w:pBdr>
          <w:top w:val="single" w:sz="12" w:space="1" w:color="auto"/>
        </w:pBdr>
        <w:tabs>
          <w:tab w:val="left" w:pos="720"/>
          <w:tab w:val="left" w:pos="1584"/>
        </w:tabs>
        <w:spacing w:line="240" w:lineRule="exact"/>
        <w:rPr>
          <w:rFonts w:ascii="Arial" w:hAnsi="Arial"/>
          <w:b/>
        </w:rPr>
      </w:pPr>
    </w:p>
    <w:sectPr w:rsidR="00C95AD0" w:rsidRPr="00C95AD0" w:rsidSect="000A3FF4">
      <w:headerReference w:type="first" r:id="rId13"/>
      <w:footerReference w:type="first" r:id="rId14"/>
      <w:footnotePr>
        <w:numRestart w:val="eachSect"/>
      </w:footnotePr>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8F04D" w14:textId="77777777" w:rsidR="00365C3B" w:rsidRDefault="00365C3B">
      <w:r>
        <w:separator/>
      </w:r>
    </w:p>
  </w:endnote>
  <w:endnote w:type="continuationSeparator" w:id="0">
    <w:p w14:paraId="3D1C7D1F" w14:textId="77777777" w:rsidR="00365C3B" w:rsidRDefault="0036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56D6" w14:textId="77777777" w:rsidR="006E29D9" w:rsidRPr="00BE36C9" w:rsidRDefault="006E29D9" w:rsidP="00BE36C9">
    <w:pPr>
      <w:pStyle w:val="a5"/>
      <w:jc w:val="right"/>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C368A" w14:textId="77777777" w:rsidR="00365C3B" w:rsidRDefault="00365C3B">
      <w:r>
        <w:separator/>
      </w:r>
    </w:p>
  </w:footnote>
  <w:footnote w:type="continuationSeparator" w:id="0">
    <w:p w14:paraId="19B78583" w14:textId="77777777" w:rsidR="00365C3B" w:rsidRDefault="00365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2499" w14:textId="082B23B9" w:rsidR="006E29D9" w:rsidRDefault="006E29D9" w:rsidP="00345C23">
    <w:pPr>
      <w:pStyle w:val="a6"/>
      <w:jc w:val="right"/>
      <w:rPr>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E8A"/>
    <w:multiLevelType w:val="hybridMultilevel"/>
    <w:tmpl w:val="4AB224C8"/>
    <w:lvl w:ilvl="0" w:tplc="7FE8873C">
      <w:start w:val="1"/>
      <w:numFmt w:val="decimal"/>
      <w:lvlText w:val="%1."/>
      <w:lvlJc w:val="left"/>
      <w:pPr>
        <w:tabs>
          <w:tab w:val="num" w:pos="792"/>
        </w:tabs>
        <w:ind w:left="792" w:hanging="360"/>
      </w:pPr>
      <w:rPr>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15:restartNumberingAfterBreak="0">
    <w:nsid w:val="0454445E"/>
    <w:multiLevelType w:val="hybridMultilevel"/>
    <w:tmpl w:val="DFB0EAFA"/>
    <w:lvl w:ilvl="0" w:tplc="225A354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747C8"/>
    <w:multiLevelType w:val="hybridMultilevel"/>
    <w:tmpl w:val="EE04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90B6D"/>
    <w:multiLevelType w:val="hybridMultilevel"/>
    <w:tmpl w:val="09822290"/>
    <w:lvl w:ilvl="0" w:tplc="7A72C2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620BAE"/>
    <w:multiLevelType w:val="hybridMultilevel"/>
    <w:tmpl w:val="9956FB2E"/>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C6D9D"/>
    <w:multiLevelType w:val="hybridMultilevel"/>
    <w:tmpl w:val="951014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B7E44"/>
    <w:multiLevelType w:val="hybridMultilevel"/>
    <w:tmpl w:val="721043D4"/>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A0692"/>
    <w:multiLevelType w:val="hybridMultilevel"/>
    <w:tmpl w:val="7E9A65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A7625"/>
    <w:multiLevelType w:val="hybridMultilevel"/>
    <w:tmpl w:val="DFCEA64A"/>
    <w:lvl w:ilvl="0" w:tplc="7A72C2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D31896"/>
    <w:multiLevelType w:val="hybridMultilevel"/>
    <w:tmpl w:val="587AA652"/>
    <w:lvl w:ilvl="0" w:tplc="019E46C4">
      <w:start w:val="1"/>
      <w:numFmt w:val="decimal"/>
      <w:lvlText w:val="%1."/>
      <w:lvlJc w:val="left"/>
      <w:pPr>
        <w:tabs>
          <w:tab w:val="num" w:pos="720"/>
        </w:tabs>
        <w:ind w:left="720" w:hanging="360"/>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F5546"/>
    <w:multiLevelType w:val="hybridMultilevel"/>
    <w:tmpl w:val="01905E72"/>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BA3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3E0B20"/>
    <w:multiLevelType w:val="hybridMultilevel"/>
    <w:tmpl w:val="47585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E669A"/>
    <w:multiLevelType w:val="hybridMultilevel"/>
    <w:tmpl w:val="00B203CE"/>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4601D3"/>
    <w:multiLevelType w:val="hybridMultilevel"/>
    <w:tmpl w:val="FB9C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14342"/>
    <w:multiLevelType w:val="hybridMultilevel"/>
    <w:tmpl w:val="952A16DC"/>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35F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276EA8"/>
    <w:multiLevelType w:val="hybridMultilevel"/>
    <w:tmpl w:val="750A8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C1755E"/>
    <w:multiLevelType w:val="hybridMultilevel"/>
    <w:tmpl w:val="00B203CE"/>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9035F8"/>
    <w:multiLevelType w:val="hybridMultilevel"/>
    <w:tmpl w:val="FB9C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5614C"/>
    <w:multiLevelType w:val="hybridMultilevel"/>
    <w:tmpl w:val="5238B316"/>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D9556B"/>
    <w:multiLevelType w:val="hybridMultilevel"/>
    <w:tmpl w:val="68B6ADDC"/>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F27D8"/>
    <w:multiLevelType w:val="hybridMultilevel"/>
    <w:tmpl w:val="952A16DC"/>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6040B"/>
    <w:multiLevelType w:val="hybridMultilevel"/>
    <w:tmpl w:val="FB9C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E6005"/>
    <w:multiLevelType w:val="hybridMultilevel"/>
    <w:tmpl w:val="68B6ADDC"/>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33A0B"/>
    <w:multiLevelType w:val="hybridMultilevel"/>
    <w:tmpl w:val="C4B843F2"/>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8B1CCB"/>
    <w:multiLevelType w:val="hybridMultilevel"/>
    <w:tmpl w:val="68B6ADDC"/>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7AD5"/>
    <w:multiLevelType w:val="hybridMultilevel"/>
    <w:tmpl w:val="3404CD98"/>
    <w:lvl w:ilvl="0" w:tplc="D18803F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829BA"/>
    <w:multiLevelType w:val="hybridMultilevel"/>
    <w:tmpl w:val="DD72EFCA"/>
    <w:lvl w:ilvl="0" w:tplc="7A72C2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743949"/>
    <w:multiLevelType w:val="hybridMultilevel"/>
    <w:tmpl w:val="68B6ADDC"/>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F3E69"/>
    <w:multiLevelType w:val="hybridMultilevel"/>
    <w:tmpl w:val="08CCE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FA2D2B"/>
    <w:multiLevelType w:val="hybridMultilevel"/>
    <w:tmpl w:val="1E4EF3C2"/>
    <w:lvl w:ilvl="0" w:tplc="7FE8873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5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C0008E"/>
    <w:multiLevelType w:val="hybridMultilevel"/>
    <w:tmpl w:val="D88AA896"/>
    <w:lvl w:ilvl="0" w:tplc="63EA614E">
      <w:start w:val="1"/>
      <w:numFmt w:val="decimal"/>
      <w:lvlText w:val="(%1)"/>
      <w:lvlJc w:val="left"/>
      <w:pPr>
        <w:tabs>
          <w:tab w:val="num" w:pos="1080"/>
        </w:tabs>
        <w:ind w:left="1080" w:hanging="360"/>
      </w:pPr>
      <w:rPr>
        <w:rFonts w:hint="default"/>
      </w:rPr>
    </w:lvl>
    <w:lvl w:ilvl="1" w:tplc="4BAEA30E" w:tentative="1">
      <w:start w:val="1"/>
      <w:numFmt w:val="lowerLetter"/>
      <w:lvlText w:val="%2."/>
      <w:lvlJc w:val="left"/>
      <w:pPr>
        <w:tabs>
          <w:tab w:val="num" w:pos="1800"/>
        </w:tabs>
        <w:ind w:left="1800" w:hanging="360"/>
      </w:pPr>
    </w:lvl>
    <w:lvl w:ilvl="2" w:tplc="E8B62910" w:tentative="1">
      <w:start w:val="1"/>
      <w:numFmt w:val="lowerRoman"/>
      <w:lvlText w:val="%3."/>
      <w:lvlJc w:val="right"/>
      <w:pPr>
        <w:tabs>
          <w:tab w:val="num" w:pos="2520"/>
        </w:tabs>
        <w:ind w:left="2520" w:hanging="180"/>
      </w:pPr>
    </w:lvl>
    <w:lvl w:ilvl="3" w:tplc="A2D8DDFA" w:tentative="1">
      <w:start w:val="1"/>
      <w:numFmt w:val="decimal"/>
      <w:lvlText w:val="%4."/>
      <w:lvlJc w:val="left"/>
      <w:pPr>
        <w:tabs>
          <w:tab w:val="num" w:pos="3240"/>
        </w:tabs>
        <w:ind w:left="3240" w:hanging="360"/>
      </w:pPr>
    </w:lvl>
    <w:lvl w:ilvl="4" w:tplc="5E2E6348" w:tentative="1">
      <w:start w:val="1"/>
      <w:numFmt w:val="lowerLetter"/>
      <w:lvlText w:val="%5."/>
      <w:lvlJc w:val="left"/>
      <w:pPr>
        <w:tabs>
          <w:tab w:val="num" w:pos="3960"/>
        </w:tabs>
        <w:ind w:left="3960" w:hanging="360"/>
      </w:pPr>
    </w:lvl>
    <w:lvl w:ilvl="5" w:tplc="18443434" w:tentative="1">
      <w:start w:val="1"/>
      <w:numFmt w:val="lowerRoman"/>
      <w:lvlText w:val="%6."/>
      <w:lvlJc w:val="right"/>
      <w:pPr>
        <w:tabs>
          <w:tab w:val="num" w:pos="4680"/>
        </w:tabs>
        <w:ind w:left="4680" w:hanging="180"/>
      </w:pPr>
    </w:lvl>
    <w:lvl w:ilvl="6" w:tplc="2C0C3904" w:tentative="1">
      <w:start w:val="1"/>
      <w:numFmt w:val="decimal"/>
      <w:lvlText w:val="%7."/>
      <w:lvlJc w:val="left"/>
      <w:pPr>
        <w:tabs>
          <w:tab w:val="num" w:pos="5400"/>
        </w:tabs>
        <w:ind w:left="5400" w:hanging="360"/>
      </w:pPr>
    </w:lvl>
    <w:lvl w:ilvl="7" w:tplc="97366A8E" w:tentative="1">
      <w:start w:val="1"/>
      <w:numFmt w:val="lowerLetter"/>
      <w:lvlText w:val="%8."/>
      <w:lvlJc w:val="left"/>
      <w:pPr>
        <w:tabs>
          <w:tab w:val="num" w:pos="6120"/>
        </w:tabs>
        <w:ind w:left="6120" w:hanging="360"/>
      </w:pPr>
    </w:lvl>
    <w:lvl w:ilvl="8" w:tplc="528AD764" w:tentative="1">
      <w:start w:val="1"/>
      <w:numFmt w:val="lowerRoman"/>
      <w:lvlText w:val="%9."/>
      <w:lvlJc w:val="right"/>
      <w:pPr>
        <w:tabs>
          <w:tab w:val="num" w:pos="6840"/>
        </w:tabs>
        <w:ind w:left="6840" w:hanging="180"/>
      </w:pPr>
    </w:lvl>
  </w:abstractNum>
  <w:abstractNum w:abstractNumId="34" w15:restartNumberingAfterBreak="0">
    <w:nsid w:val="641C6454"/>
    <w:multiLevelType w:val="hybridMultilevel"/>
    <w:tmpl w:val="587AA652"/>
    <w:lvl w:ilvl="0" w:tplc="019E46C4">
      <w:start w:val="1"/>
      <w:numFmt w:val="decimal"/>
      <w:lvlText w:val="%1."/>
      <w:lvlJc w:val="left"/>
      <w:pPr>
        <w:tabs>
          <w:tab w:val="num" w:pos="720"/>
        </w:tabs>
        <w:ind w:left="720" w:hanging="360"/>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E1553"/>
    <w:multiLevelType w:val="hybridMultilevel"/>
    <w:tmpl w:val="16226416"/>
    <w:lvl w:ilvl="0" w:tplc="7FE8873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68EF53BE"/>
    <w:multiLevelType w:val="hybridMultilevel"/>
    <w:tmpl w:val="C4B843F2"/>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1A63DA"/>
    <w:multiLevelType w:val="hybridMultilevel"/>
    <w:tmpl w:val="00B203CE"/>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0B6EC7"/>
    <w:multiLevelType w:val="hybridMultilevel"/>
    <w:tmpl w:val="16226416"/>
    <w:lvl w:ilvl="0" w:tplc="7FE8873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6EE91FF9"/>
    <w:multiLevelType w:val="hybridMultilevel"/>
    <w:tmpl w:val="7FB24F56"/>
    <w:lvl w:ilvl="0" w:tplc="CE10B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1D7ED5"/>
    <w:multiLevelType w:val="hybridMultilevel"/>
    <w:tmpl w:val="AEFC8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349AD"/>
    <w:multiLevelType w:val="hybridMultilevel"/>
    <w:tmpl w:val="66CABB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97197"/>
    <w:multiLevelType w:val="hybridMultilevel"/>
    <w:tmpl w:val="071E7614"/>
    <w:lvl w:ilvl="0" w:tplc="F82689C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11"/>
  </w:num>
  <w:num w:numId="2">
    <w:abstractNumId w:val="32"/>
  </w:num>
  <w:num w:numId="3">
    <w:abstractNumId w:val="16"/>
  </w:num>
  <w:num w:numId="4">
    <w:abstractNumId w:val="33"/>
  </w:num>
  <w:num w:numId="5">
    <w:abstractNumId w:val="36"/>
  </w:num>
  <w:num w:numId="6">
    <w:abstractNumId w:val="17"/>
  </w:num>
  <w:num w:numId="7">
    <w:abstractNumId w:val="30"/>
  </w:num>
  <w:num w:numId="8">
    <w:abstractNumId w:val="1"/>
  </w:num>
  <w:num w:numId="9">
    <w:abstractNumId w:val="22"/>
  </w:num>
  <w:num w:numId="10">
    <w:abstractNumId w:val="21"/>
  </w:num>
  <w:num w:numId="11">
    <w:abstractNumId w:val="4"/>
  </w:num>
  <w:num w:numId="12">
    <w:abstractNumId w:val="6"/>
  </w:num>
  <w:num w:numId="13">
    <w:abstractNumId w:val="39"/>
  </w:num>
  <w:num w:numId="14">
    <w:abstractNumId w:val="0"/>
  </w:num>
  <w:num w:numId="15">
    <w:abstractNumId w:val="29"/>
  </w:num>
  <w:num w:numId="16">
    <w:abstractNumId w:val="34"/>
  </w:num>
  <w:num w:numId="17">
    <w:abstractNumId w:val="23"/>
  </w:num>
  <w:num w:numId="18">
    <w:abstractNumId w:val="31"/>
  </w:num>
  <w:num w:numId="19">
    <w:abstractNumId w:val="38"/>
  </w:num>
  <w:num w:numId="20">
    <w:abstractNumId w:val="28"/>
  </w:num>
  <w:num w:numId="21">
    <w:abstractNumId w:val="42"/>
  </w:num>
  <w:num w:numId="22">
    <w:abstractNumId w:val="12"/>
  </w:num>
  <w:num w:numId="23">
    <w:abstractNumId w:val="27"/>
  </w:num>
  <w:num w:numId="24">
    <w:abstractNumId w:val="5"/>
  </w:num>
  <w:num w:numId="25">
    <w:abstractNumId w:val="25"/>
  </w:num>
  <w:num w:numId="26">
    <w:abstractNumId w:val="40"/>
  </w:num>
  <w:num w:numId="27">
    <w:abstractNumId w:val="35"/>
  </w:num>
  <w:num w:numId="28">
    <w:abstractNumId w:val="26"/>
  </w:num>
  <w:num w:numId="29">
    <w:abstractNumId w:val="19"/>
  </w:num>
  <w:num w:numId="30">
    <w:abstractNumId w:val="18"/>
  </w:num>
  <w:num w:numId="31">
    <w:abstractNumId w:val="2"/>
  </w:num>
  <w:num w:numId="32">
    <w:abstractNumId w:val="9"/>
  </w:num>
  <w:num w:numId="33">
    <w:abstractNumId w:val="13"/>
  </w:num>
  <w:num w:numId="34">
    <w:abstractNumId w:val="14"/>
  </w:num>
  <w:num w:numId="35">
    <w:abstractNumId w:val="24"/>
  </w:num>
  <w:num w:numId="36">
    <w:abstractNumId w:val="7"/>
  </w:num>
  <w:num w:numId="37">
    <w:abstractNumId w:val="8"/>
  </w:num>
  <w:num w:numId="38">
    <w:abstractNumId w:val="3"/>
  </w:num>
  <w:num w:numId="39">
    <w:abstractNumId w:val="37"/>
  </w:num>
  <w:num w:numId="40">
    <w:abstractNumId w:val="15"/>
  </w:num>
  <w:num w:numId="41">
    <w:abstractNumId w:val="10"/>
  </w:num>
  <w:num w:numId="42">
    <w:abstractNumId w:val="20"/>
  </w:num>
  <w:num w:numId="43">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4A"/>
    <w:rsid w:val="00002EEA"/>
    <w:rsid w:val="000045A2"/>
    <w:rsid w:val="00004C16"/>
    <w:rsid w:val="00005495"/>
    <w:rsid w:val="00005E3E"/>
    <w:rsid w:val="000127D8"/>
    <w:rsid w:val="00012AA1"/>
    <w:rsid w:val="000139F1"/>
    <w:rsid w:val="00021DE4"/>
    <w:rsid w:val="00022CA1"/>
    <w:rsid w:val="00022D48"/>
    <w:rsid w:val="00023CDF"/>
    <w:rsid w:val="00027FC1"/>
    <w:rsid w:val="0003033C"/>
    <w:rsid w:val="0003046F"/>
    <w:rsid w:val="000371D0"/>
    <w:rsid w:val="00037CDC"/>
    <w:rsid w:val="00041E49"/>
    <w:rsid w:val="00042BEF"/>
    <w:rsid w:val="00043E62"/>
    <w:rsid w:val="000449A9"/>
    <w:rsid w:val="00045F7F"/>
    <w:rsid w:val="00047C5E"/>
    <w:rsid w:val="00050B69"/>
    <w:rsid w:val="00051C1B"/>
    <w:rsid w:val="00053605"/>
    <w:rsid w:val="000565DE"/>
    <w:rsid w:val="000578A7"/>
    <w:rsid w:val="00061305"/>
    <w:rsid w:val="0006274E"/>
    <w:rsid w:val="00062B02"/>
    <w:rsid w:val="00063BAB"/>
    <w:rsid w:val="000710EF"/>
    <w:rsid w:val="000719CD"/>
    <w:rsid w:val="0007242C"/>
    <w:rsid w:val="00073F74"/>
    <w:rsid w:val="0007644B"/>
    <w:rsid w:val="000764DD"/>
    <w:rsid w:val="00076544"/>
    <w:rsid w:val="00080A2A"/>
    <w:rsid w:val="0008296E"/>
    <w:rsid w:val="00083EC7"/>
    <w:rsid w:val="00084FFB"/>
    <w:rsid w:val="000856B1"/>
    <w:rsid w:val="00085FE2"/>
    <w:rsid w:val="00087348"/>
    <w:rsid w:val="000930D9"/>
    <w:rsid w:val="0009344A"/>
    <w:rsid w:val="00095CF5"/>
    <w:rsid w:val="000A2984"/>
    <w:rsid w:val="000A3FF4"/>
    <w:rsid w:val="000A441E"/>
    <w:rsid w:val="000A55F5"/>
    <w:rsid w:val="000A70A7"/>
    <w:rsid w:val="000B0EBF"/>
    <w:rsid w:val="000B3F7B"/>
    <w:rsid w:val="000B464D"/>
    <w:rsid w:val="000B75FC"/>
    <w:rsid w:val="000C084D"/>
    <w:rsid w:val="000C25EE"/>
    <w:rsid w:val="000D00C3"/>
    <w:rsid w:val="000D02F6"/>
    <w:rsid w:val="000D08B6"/>
    <w:rsid w:val="000D094F"/>
    <w:rsid w:val="000D1B25"/>
    <w:rsid w:val="000D3F1C"/>
    <w:rsid w:val="000D4727"/>
    <w:rsid w:val="000D4F63"/>
    <w:rsid w:val="000D723E"/>
    <w:rsid w:val="000E31CB"/>
    <w:rsid w:val="000E3665"/>
    <w:rsid w:val="000E54F3"/>
    <w:rsid w:val="000E6FC3"/>
    <w:rsid w:val="000F2E4B"/>
    <w:rsid w:val="00100279"/>
    <w:rsid w:val="00100C22"/>
    <w:rsid w:val="001018BD"/>
    <w:rsid w:val="001019F3"/>
    <w:rsid w:val="001026DB"/>
    <w:rsid w:val="00103269"/>
    <w:rsid w:val="00103DCF"/>
    <w:rsid w:val="00103DE0"/>
    <w:rsid w:val="001046E0"/>
    <w:rsid w:val="00104E1E"/>
    <w:rsid w:val="0010646A"/>
    <w:rsid w:val="00106A21"/>
    <w:rsid w:val="00110127"/>
    <w:rsid w:val="00110494"/>
    <w:rsid w:val="00110AF1"/>
    <w:rsid w:val="00112EC6"/>
    <w:rsid w:val="001157B7"/>
    <w:rsid w:val="001173C0"/>
    <w:rsid w:val="00121DCB"/>
    <w:rsid w:val="001247CC"/>
    <w:rsid w:val="00126755"/>
    <w:rsid w:val="0013182D"/>
    <w:rsid w:val="001320FB"/>
    <w:rsid w:val="001324CE"/>
    <w:rsid w:val="0013343D"/>
    <w:rsid w:val="00133D93"/>
    <w:rsid w:val="00133FDE"/>
    <w:rsid w:val="00134A5A"/>
    <w:rsid w:val="0013740F"/>
    <w:rsid w:val="00152D6D"/>
    <w:rsid w:val="001530C3"/>
    <w:rsid w:val="0015423C"/>
    <w:rsid w:val="00154416"/>
    <w:rsid w:val="00154A5B"/>
    <w:rsid w:val="00157D4B"/>
    <w:rsid w:val="0016005C"/>
    <w:rsid w:val="00161CFA"/>
    <w:rsid w:val="001621BE"/>
    <w:rsid w:val="0016279B"/>
    <w:rsid w:val="00163839"/>
    <w:rsid w:val="00166ABE"/>
    <w:rsid w:val="00167FD2"/>
    <w:rsid w:val="00170E8A"/>
    <w:rsid w:val="00172C43"/>
    <w:rsid w:val="001737E5"/>
    <w:rsid w:val="00173A23"/>
    <w:rsid w:val="00174A05"/>
    <w:rsid w:val="00181435"/>
    <w:rsid w:val="00182A35"/>
    <w:rsid w:val="00182E7F"/>
    <w:rsid w:val="00183F77"/>
    <w:rsid w:val="00184A7B"/>
    <w:rsid w:val="0018523D"/>
    <w:rsid w:val="00186301"/>
    <w:rsid w:val="0018761A"/>
    <w:rsid w:val="00192F3A"/>
    <w:rsid w:val="001935BD"/>
    <w:rsid w:val="00193D90"/>
    <w:rsid w:val="0019717A"/>
    <w:rsid w:val="0019783C"/>
    <w:rsid w:val="00197AF5"/>
    <w:rsid w:val="001A16EC"/>
    <w:rsid w:val="001A17BD"/>
    <w:rsid w:val="001A2497"/>
    <w:rsid w:val="001A373D"/>
    <w:rsid w:val="001B0699"/>
    <w:rsid w:val="001B123E"/>
    <w:rsid w:val="001B1907"/>
    <w:rsid w:val="001B1F6A"/>
    <w:rsid w:val="001B4427"/>
    <w:rsid w:val="001B6810"/>
    <w:rsid w:val="001B7471"/>
    <w:rsid w:val="001C01C2"/>
    <w:rsid w:val="001C1BB0"/>
    <w:rsid w:val="001C1CE2"/>
    <w:rsid w:val="001C22EC"/>
    <w:rsid w:val="001C2CEB"/>
    <w:rsid w:val="001C7C08"/>
    <w:rsid w:val="001C7E87"/>
    <w:rsid w:val="001D0AFD"/>
    <w:rsid w:val="001D1928"/>
    <w:rsid w:val="001D1F27"/>
    <w:rsid w:val="001D2F8A"/>
    <w:rsid w:val="001D4E71"/>
    <w:rsid w:val="001D7256"/>
    <w:rsid w:val="001E025C"/>
    <w:rsid w:val="001E13D3"/>
    <w:rsid w:val="001E24DC"/>
    <w:rsid w:val="001E2AD5"/>
    <w:rsid w:val="001E4B95"/>
    <w:rsid w:val="001F016A"/>
    <w:rsid w:val="001F09E6"/>
    <w:rsid w:val="001F29DE"/>
    <w:rsid w:val="001F4A0D"/>
    <w:rsid w:val="001F4EBB"/>
    <w:rsid w:val="001F638D"/>
    <w:rsid w:val="001F6F67"/>
    <w:rsid w:val="001F7D8A"/>
    <w:rsid w:val="00201EBB"/>
    <w:rsid w:val="00201F2C"/>
    <w:rsid w:val="002026EB"/>
    <w:rsid w:val="0020316D"/>
    <w:rsid w:val="0020478A"/>
    <w:rsid w:val="00205549"/>
    <w:rsid w:val="00205CAB"/>
    <w:rsid w:val="002072DD"/>
    <w:rsid w:val="002169FE"/>
    <w:rsid w:val="00220BE3"/>
    <w:rsid w:val="002241CF"/>
    <w:rsid w:val="0022600A"/>
    <w:rsid w:val="00226EAF"/>
    <w:rsid w:val="00227936"/>
    <w:rsid w:val="00227F76"/>
    <w:rsid w:val="00231206"/>
    <w:rsid w:val="00233C4A"/>
    <w:rsid w:val="0023471D"/>
    <w:rsid w:val="002376C1"/>
    <w:rsid w:val="00242638"/>
    <w:rsid w:val="00243AF4"/>
    <w:rsid w:val="00245B31"/>
    <w:rsid w:val="00245D9E"/>
    <w:rsid w:val="00246672"/>
    <w:rsid w:val="00246E61"/>
    <w:rsid w:val="002470FF"/>
    <w:rsid w:val="002476FB"/>
    <w:rsid w:val="0025144D"/>
    <w:rsid w:val="00252406"/>
    <w:rsid w:val="0025365D"/>
    <w:rsid w:val="00260545"/>
    <w:rsid w:val="00264280"/>
    <w:rsid w:val="002659D6"/>
    <w:rsid w:val="00266E09"/>
    <w:rsid w:val="002705B9"/>
    <w:rsid w:val="00270C5D"/>
    <w:rsid w:val="00273707"/>
    <w:rsid w:val="002742D0"/>
    <w:rsid w:val="00274CD9"/>
    <w:rsid w:val="00275434"/>
    <w:rsid w:val="00275470"/>
    <w:rsid w:val="002757D5"/>
    <w:rsid w:val="00275EF8"/>
    <w:rsid w:val="002765A2"/>
    <w:rsid w:val="00277025"/>
    <w:rsid w:val="00277E67"/>
    <w:rsid w:val="00281AD5"/>
    <w:rsid w:val="00281AD7"/>
    <w:rsid w:val="00281BB6"/>
    <w:rsid w:val="00286827"/>
    <w:rsid w:val="002870CF"/>
    <w:rsid w:val="0029066A"/>
    <w:rsid w:val="002908D6"/>
    <w:rsid w:val="00291207"/>
    <w:rsid w:val="00293D17"/>
    <w:rsid w:val="0029416A"/>
    <w:rsid w:val="00294722"/>
    <w:rsid w:val="0029559C"/>
    <w:rsid w:val="00295AD2"/>
    <w:rsid w:val="002972CB"/>
    <w:rsid w:val="002A1FF1"/>
    <w:rsid w:val="002A272A"/>
    <w:rsid w:val="002A6691"/>
    <w:rsid w:val="002B0E19"/>
    <w:rsid w:val="002B2219"/>
    <w:rsid w:val="002B436F"/>
    <w:rsid w:val="002B48B8"/>
    <w:rsid w:val="002B4BCC"/>
    <w:rsid w:val="002B5303"/>
    <w:rsid w:val="002B64F9"/>
    <w:rsid w:val="002B671E"/>
    <w:rsid w:val="002C31E5"/>
    <w:rsid w:val="002C349A"/>
    <w:rsid w:val="002D19A2"/>
    <w:rsid w:val="002D2E11"/>
    <w:rsid w:val="002D382E"/>
    <w:rsid w:val="002D691C"/>
    <w:rsid w:val="002E00F3"/>
    <w:rsid w:val="002E05D2"/>
    <w:rsid w:val="002E090C"/>
    <w:rsid w:val="002E2009"/>
    <w:rsid w:val="002E2D3B"/>
    <w:rsid w:val="002E4AB5"/>
    <w:rsid w:val="002E73C7"/>
    <w:rsid w:val="002F0D1D"/>
    <w:rsid w:val="002F2023"/>
    <w:rsid w:val="002F282B"/>
    <w:rsid w:val="002F3BFF"/>
    <w:rsid w:val="002F4F8C"/>
    <w:rsid w:val="002F6DE2"/>
    <w:rsid w:val="002F7C06"/>
    <w:rsid w:val="00302011"/>
    <w:rsid w:val="00305BD3"/>
    <w:rsid w:val="00305D83"/>
    <w:rsid w:val="00306711"/>
    <w:rsid w:val="00311C28"/>
    <w:rsid w:val="00311D05"/>
    <w:rsid w:val="00314EAC"/>
    <w:rsid w:val="003151D1"/>
    <w:rsid w:val="00320335"/>
    <w:rsid w:val="00321365"/>
    <w:rsid w:val="003239AB"/>
    <w:rsid w:val="0032547F"/>
    <w:rsid w:val="00326D2B"/>
    <w:rsid w:val="003304D5"/>
    <w:rsid w:val="003374AC"/>
    <w:rsid w:val="00337CBC"/>
    <w:rsid w:val="00340D23"/>
    <w:rsid w:val="00341522"/>
    <w:rsid w:val="00343DF6"/>
    <w:rsid w:val="00344CE6"/>
    <w:rsid w:val="00344F45"/>
    <w:rsid w:val="00345C23"/>
    <w:rsid w:val="00345CAD"/>
    <w:rsid w:val="003474F9"/>
    <w:rsid w:val="00350A59"/>
    <w:rsid w:val="003548B9"/>
    <w:rsid w:val="00356168"/>
    <w:rsid w:val="0035668B"/>
    <w:rsid w:val="003608EC"/>
    <w:rsid w:val="00361D7C"/>
    <w:rsid w:val="00361EAC"/>
    <w:rsid w:val="00362E13"/>
    <w:rsid w:val="0036470D"/>
    <w:rsid w:val="00365C3B"/>
    <w:rsid w:val="0036623C"/>
    <w:rsid w:val="003666B8"/>
    <w:rsid w:val="00366989"/>
    <w:rsid w:val="00370DFC"/>
    <w:rsid w:val="00371FB4"/>
    <w:rsid w:val="003809E3"/>
    <w:rsid w:val="003817F3"/>
    <w:rsid w:val="00382435"/>
    <w:rsid w:val="0038413D"/>
    <w:rsid w:val="00390372"/>
    <w:rsid w:val="00391A1F"/>
    <w:rsid w:val="00391F79"/>
    <w:rsid w:val="00392213"/>
    <w:rsid w:val="003930CC"/>
    <w:rsid w:val="00393BD8"/>
    <w:rsid w:val="00397172"/>
    <w:rsid w:val="003A0080"/>
    <w:rsid w:val="003A0229"/>
    <w:rsid w:val="003A0434"/>
    <w:rsid w:val="003A2B89"/>
    <w:rsid w:val="003A4AA5"/>
    <w:rsid w:val="003A5266"/>
    <w:rsid w:val="003A7DDD"/>
    <w:rsid w:val="003B3AC5"/>
    <w:rsid w:val="003B4788"/>
    <w:rsid w:val="003B51BD"/>
    <w:rsid w:val="003B52CA"/>
    <w:rsid w:val="003B6B63"/>
    <w:rsid w:val="003B725D"/>
    <w:rsid w:val="003C03D1"/>
    <w:rsid w:val="003C1124"/>
    <w:rsid w:val="003C246D"/>
    <w:rsid w:val="003C44F1"/>
    <w:rsid w:val="003C75BF"/>
    <w:rsid w:val="003D392F"/>
    <w:rsid w:val="003D6998"/>
    <w:rsid w:val="003D79EF"/>
    <w:rsid w:val="003E0C08"/>
    <w:rsid w:val="003E438B"/>
    <w:rsid w:val="003E48E0"/>
    <w:rsid w:val="003E6260"/>
    <w:rsid w:val="003E74BA"/>
    <w:rsid w:val="003F1D8D"/>
    <w:rsid w:val="003F4FD2"/>
    <w:rsid w:val="003F6A9C"/>
    <w:rsid w:val="003F79BE"/>
    <w:rsid w:val="003F7B65"/>
    <w:rsid w:val="00400663"/>
    <w:rsid w:val="00404D51"/>
    <w:rsid w:val="00405DD6"/>
    <w:rsid w:val="00405E81"/>
    <w:rsid w:val="00406179"/>
    <w:rsid w:val="0040625E"/>
    <w:rsid w:val="00406A5E"/>
    <w:rsid w:val="00407BE0"/>
    <w:rsid w:val="00410083"/>
    <w:rsid w:val="00412E10"/>
    <w:rsid w:val="00414098"/>
    <w:rsid w:val="004143CD"/>
    <w:rsid w:val="00414835"/>
    <w:rsid w:val="004156B3"/>
    <w:rsid w:val="0041667E"/>
    <w:rsid w:val="00417670"/>
    <w:rsid w:val="004214C9"/>
    <w:rsid w:val="004224E2"/>
    <w:rsid w:val="00423A41"/>
    <w:rsid w:val="00427B00"/>
    <w:rsid w:val="0043020F"/>
    <w:rsid w:val="0043031D"/>
    <w:rsid w:val="00433258"/>
    <w:rsid w:val="00433B66"/>
    <w:rsid w:val="00436B0B"/>
    <w:rsid w:val="0044164E"/>
    <w:rsid w:val="00442447"/>
    <w:rsid w:val="004468D1"/>
    <w:rsid w:val="00447C19"/>
    <w:rsid w:val="00450DE3"/>
    <w:rsid w:val="004523DD"/>
    <w:rsid w:val="0045313A"/>
    <w:rsid w:val="00457536"/>
    <w:rsid w:val="00460C0B"/>
    <w:rsid w:val="00465C9C"/>
    <w:rsid w:val="00465FDE"/>
    <w:rsid w:val="00471502"/>
    <w:rsid w:val="004759E5"/>
    <w:rsid w:val="004760EC"/>
    <w:rsid w:val="00476F16"/>
    <w:rsid w:val="00477B0A"/>
    <w:rsid w:val="00477B7A"/>
    <w:rsid w:val="00480219"/>
    <w:rsid w:val="004870B8"/>
    <w:rsid w:val="00494553"/>
    <w:rsid w:val="004965C0"/>
    <w:rsid w:val="004968AB"/>
    <w:rsid w:val="0049726E"/>
    <w:rsid w:val="004A24AA"/>
    <w:rsid w:val="004A27E5"/>
    <w:rsid w:val="004A2CC0"/>
    <w:rsid w:val="004A501B"/>
    <w:rsid w:val="004A55DE"/>
    <w:rsid w:val="004A5753"/>
    <w:rsid w:val="004A6219"/>
    <w:rsid w:val="004A6574"/>
    <w:rsid w:val="004B1B85"/>
    <w:rsid w:val="004B2DE7"/>
    <w:rsid w:val="004B3E12"/>
    <w:rsid w:val="004B3F7C"/>
    <w:rsid w:val="004B6169"/>
    <w:rsid w:val="004C1197"/>
    <w:rsid w:val="004C1523"/>
    <w:rsid w:val="004C46DF"/>
    <w:rsid w:val="004C4E69"/>
    <w:rsid w:val="004C7692"/>
    <w:rsid w:val="004D0EE1"/>
    <w:rsid w:val="004D650D"/>
    <w:rsid w:val="004E3C2A"/>
    <w:rsid w:val="004E4745"/>
    <w:rsid w:val="004E6D5F"/>
    <w:rsid w:val="004E7411"/>
    <w:rsid w:val="004E7417"/>
    <w:rsid w:val="004F01A0"/>
    <w:rsid w:val="004F3883"/>
    <w:rsid w:val="004F3AB1"/>
    <w:rsid w:val="004F4941"/>
    <w:rsid w:val="004F5194"/>
    <w:rsid w:val="004F5A9F"/>
    <w:rsid w:val="004F713D"/>
    <w:rsid w:val="00502129"/>
    <w:rsid w:val="0051041E"/>
    <w:rsid w:val="005159E5"/>
    <w:rsid w:val="00515B6E"/>
    <w:rsid w:val="0052183A"/>
    <w:rsid w:val="00521B94"/>
    <w:rsid w:val="005250B5"/>
    <w:rsid w:val="00526089"/>
    <w:rsid w:val="00526288"/>
    <w:rsid w:val="00530E79"/>
    <w:rsid w:val="00535F43"/>
    <w:rsid w:val="00536BC2"/>
    <w:rsid w:val="0053726B"/>
    <w:rsid w:val="00540DBE"/>
    <w:rsid w:val="00542D3C"/>
    <w:rsid w:val="00542F45"/>
    <w:rsid w:val="005450CC"/>
    <w:rsid w:val="00545F2E"/>
    <w:rsid w:val="0054604C"/>
    <w:rsid w:val="00547555"/>
    <w:rsid w:val="00547AD8"/>
    <w:rsid w:val="0055064A"/>
    <w:rsid w:val="00556ADA"/>
    <w:rsid w:val="00560B31"/>
    <w:rsid w:val="00561C85"/>
    <w:rsid w:val="00561D28"/>
    <w:rsid w:val="00563288"/>
    <w:rsid w:val="005645D0"/>
    <w:rsid w:val="0056535B"/>
    <w:rsid w:val="00567578"/>
    <w:rsid w:val="005730DE"/>
    <w:rsid w:val="00573EE8"/>
    <w:rsid w:val="0057547B"/>
    <w:rsid w:val="00581447"/>
    <w:rsid w:val="005823CA"/>
    <w:rsid w:val="005825F8"/>
    <w:rsid w:val="00583824"/>
    <w:rsid w:val="005842DD"/>
    <w:rsid w:val="00586DF2"/>
    <w:rsid w:val="00591984"/>
    <w:rsid w:val="005923F6"/>
    <w:rsid w:val="00592EE0"/>
    <w:rsid w:val="00593341"/>
    <w:rsid w:val="005942EB"/>
    <w:rsid w:val="00595EAE"/>
    <w:rsid w:val="0059615A"/>
    <w:rsid w:val="00596EF8"/>
    <w:rsid w:val="00597073"/>
    <w:rsid w:val="005977AF"/>
    <w:rsid w:val="005A1B53"/>
    <w:rsid w:val="005A20C6"/>
    <w:rsid w:val="005A32C0"/>
    <w:rsid w:val="005A3BEE"/>
    <w:rsid w:val="005A3F4F"/>
    <w:rsid w:val="005A4C4A"/>
    <w:rsid w:val="005A5A52"/>
    <w:rsid w:val="005A640E"/>
    <w:rsid w:val="005A773F"/>
    <w:rsid w:val="005A7BB3"/>
    <w:rsid w:val="005B1008"/>
    <w:rsid w:val="005B303A"/>
    <w:rsid w:val="005B32E5"/>
    <w:rsid w:val="005B4AE4"/>
    <w:rsid w:val="005B4D16"/>
    <w:rsid w:val="005B5B73"/>
    <w:rsid w:val="005B6E9B"/>
    <w:rsid w:val="005B771D"/>
    <w:rsid w:val="005B7D7B"/>
    <w:rsid w:val="005C12ED"/>
    <w:rsid w:val="005C5BA9"/>
    <w:rsid w:val="005C64A8"/>
    <w:rsid w:val="005D03AA"/>
    <w:rsid w:val="005D080A"/>
    <w:rsid w:val="005D40A6"/>
    <w:rsid w:val="005D694C"/>
    <w:rsid w:val="005D6CCF"/>
    <w:rsid w:val="005D6F16"/>
    <w:rsid w:val="005D77FA"/>
    <w:rsid w:val="005E0C33"/>
    <w:rsid w:val="005E1A50"/>
    <w:rsid w:val="005E1FB8"/>
    <w:rsid w:val="005F42B4"/>
    <w:rsid w:val="005F4D3D"/>
    <w:rsid w:val="005F5DB7"/>
    <w:rsid w:val="005F6CC6"/>
    <w:rsid w:val="00600952"/>
    <w:rsid w:val="0060261F"/>
    <w:rsid w:val="00602C07"/>
    <w:rsid w:val="00603338"/>
    <w:rsid w:val="00604368"/>
    <w:rsid w:val="006053C1"/>
    <w:rsid w:val="00610F53"/>
    <w:rsid w:val="006127AE"/>
    <w:rsid w:val="00613A4D"/>
    <w:rsid w:val="00615D91"/>
    <w:rsid w:val="006162E1"/>
    <w:rsid w:val="006163A7"/>
    <w:rsid w:val="00617CCD"/>
    <w:rsid w:val="00621244"/>
    <w:rsid w:val="00621AF9"/>
    <w:rsid w:val="00623BAB"/>
    <w:rsid w:val="00623F72"/>
    <w:rsid w:val="0062430F"/>
    <w:rsid w:val="00631029"/>
    <w:rsid w:val="00631CD8"/>
    <w:rsid w:val="00637654"/>
    <w:rsid w:val="006410EA"/>
    <w:rsid w:val="00641E9E"/>
    <w:rsid w:val="00642293"/>
    <w:rsid w:val="00642DA9"/>
    <w:rsid w:val="00643719"/>
    <w:rsid w:val="006457E7"/>
    <w:rsid w:val="00650AD0"/>
    <w:rsid w:val="0065413D"/>
    <w:rsid w:val="00654F96"/>
    <w:rsid w:val="00656C21"/>
    <w:rsid w:val="00662423"/>
    <w:rsid w:val="00663B22"/>
    <w:rsid w:val="006646E7"/>
    <w:rsid w:val="0066471B"/>
    <w:rsid w:val="00665D1E"/>
    <w:rsid w:val="00672551"/>
    <w:rsid w:val="006731E6"/>
    <w:rsid w:val="00673AF1"/>
    <w:rsid w:val="00676DFD"/>
    <w:rsid w:val="00677B55"/>
    <w:rsid w:val="0068743D"/>
    <w:rsid w:val="006901E2"/>
    <w:rsid w:val="00690652"/>
    <w:rsid w:val="0069096E"/>
    <w:rsid w:val="00690E3A"/>
    <w:rsid w:val="006940A7"/>
    <w:rsid w:val="00696140"/>
    <w:rsid w:val="006A265F"/>
    <w:rsid w:val="006A3F99"/>
    <w:rsid w:val="006A6087"/>
    <w:rsid w:val="006B0B88"/>
    <w:rsid w:val="006B48E6"/>
    <w:rsid w:val="006B6B3B"/>
    <w:rsid w:val="006B6B9F"/>
    <w:rsid w:val="006C3A55"/>
    <w:rsid w:val="006C3AAE"/>
    <w:rsid w:val="006C4806"/>
    <w:rsid w:val="006C5238"/>
    <w:rsid w:val="006C53F8"/>
    <w:rsid w:val="006C6689"/>
    <w:rsid w:val="006C6B68"/>
    <w:rsid w:val="006D04B4"/>
    <w:rsid w:val="006D0730"/>
    <w:rsid w:val="006D1492"/>
    <w:rsid w:val="006D15F4"/>
    <w:rsid w:val="006D17E1"/>
    <w:rsid w:val="006D2C32"/>
    <w:rsid w:val="006D3CD1"/>
    <w:rsid w:val="006E0CAE"/>
    <w:rsid w:val="006E19AA"/>
    <w:rsid w:val="006E24FE"/>
    <w:rsid w:val="006E29D9"/>
    <w:rsid w:val="006E3195"/>
    <w:rsid w:val="006E3784"/>
    <w:rsid w:val="006E5F30"/>
    <w:rsid w:val="006E6445"/>
    <w:rsid w:val="006E6728"/>
    <w:rsid w:val="006E7047"/>
    <w:rsid w:val="006E7864"/>
    <w:rsid w:val="006F09D8"/>
    <w:rsid w:val="006F151A"/>
    <w:rsid w:val="006F26C7"/>
    <w:rsid w:val="006F2F09"/>
    <w:rsid w:val="00700846"/>
    <w:rsid w:val="00700F43"/>
    <w:rsid w:val="0071016C"/>
    <w:rsid w:val="00710867"/>
    <w:rsid w:val="00712672"/>
    <w:rsid w:val="00712C79"/>
    <w:rsid w:val="00714207"/>
    <w:rsid w:val="00715EBE"/>
    <w:rsid w:val="0071691B"/>
    <w:rsid w:val="00720808"/>
    <w:rsid w:val="00721458"/>
    <w:rsid w:val="007216DE"/>
    <w:rsid w:val="00722562"/>
    <w:rsid w:val="00722607"/>
    <w:rsid w:val="00722DE9"/>
    <w:rsid w:val="00725C05"/>
    <w:rsid w:val="00733CEE"/>
    <w:rsid w:val="00735D66"/>
    <w:rsid w:val="007419E7"/>
    <w:rsid w:val="00743344"/>
    <w:rsid w:val="00744BDD"/>
    <w:rsid w:val="00747670"/>
    <w:rsid w:val="00747C59"/>
    <w:rsid w:val="00755DB7"/>
    <w:rsid w:val="00761C7E"/>
    <w:rsid w:val="00770CAB"/>
    <w:rsid w:val="00771FA1"/>
    <w:rsid w:val="00782896"/>
    <w:rsid w:val="007839E4"/>
    <w:rsid w:val="007841FC"/>
    <w:rsid w:val="007861D7"/>
    <w:rsid w:val="00786DC8"/>
    <w:rsid w:val="007872DD"/>
    <w:rsid w:val="00790EC9"/>
    <w:rsid w:val="007910B7"/>
    <w:rsid w:val="007913D9"/>
    <w:rsid w:val="00791ADB"/>
    <w:rsid w:val="00791D02"/>
    <w:rsid w:val="00791E61"/>
    <w:rsid w:val="007951F1"/>
    <w:rsid w:val="00797E61"/>
    <w:rsid w:val="007A2E2C"/>
    <w:rsid w:val="007A4674"/>
    <w:rsid w:val="007A6D08"/>
    <w:rsid w:val="007B068A"/>
    <w:rsid w:val="007B1A07"/>
    <w:rsid w:val="007B3350"/>
    <w:rsid w:val="007B3CB2"/>
    <w:rsid w:val="007B41F4"/>
    <w:rsid w:val="007B539A"/>
    <w:rsid w:val="007C2974"/>
    <w:rsid w:val="007C2F75"/>
    <w:rsid w:val="007C2F9E"/>
    <w:rsid w:val="007C328B"/>
    <w:rsid w:val="007C481F"/>
    <w:rsid w:val="007C4EB2"/>
    <w:rsid w:val="007C5069"/>
    <w:rsid w:val="007C7732"/>
    <w:rsid w:val="007C7E19"/>
    <w:rsid w:val="007D0AEF"/>
    <w:rsid w:val="007D2120"/>
    <w:rsid w:val="007D3BFA"/>
    <w:rsid w:val="007D5A1D"/>
    <w:rsid w:val="007D6245"/>
    <w:rsid w:val="007E14DE"/>
    <w:rsid w:val="007E31D4"/>
    <w:rsid w:val="007E48AE"/>
    <w:rsid w:val="007F0624"/>
    <w:rsid w:val="007F4B51"/>
    <w:rsid w:val="007F4F6E"/>
    <w:rsid w:val="007F5912"/>
    <w:rsid w:val="007F5E45"/>
    <w:rsid w:val="007F6E03"/>
    <w:rsid w:val="00801889"/>
    <w:rsid w:val="00802BD8"/>
    <w:rsid w:val="00804FB4"/>
    <w:rsid w:val="00807717"/>
    <w:rsid w:val="00811324"/>
    <w:rsid w:val="0081228E"/>
    <w:rsid w:val="008125A6"/>
    <w:rsid w:val="0081333D"/>
    <w:rsid w:val="00813F21"/>
    <w:rsid w:val="00815673"/>
    <w:rsid w:val="00815DA1"/>
    <w:rsid w:val="0081748A"/>
    <w:rsid w:val="008178BE"/>
    <w:rsid w:val="008200B0"/>
    <w:rsid w:val="0082094F"/>
    <w:rsid w:val="00823356"/>
    <w:rsid w:val="00824F88"/>
    <w:rsid w:val="0083313B"/>
    <w:rsid w:val="00833E46"/>
    <w:rsid w:val="00835843"/>
    <w:rsid w:val="008359D0"/>
    <w:rsid w:val="00835F0E"/>
    <w:rsid w:val="00842157"/>
    <w:rsid w:val="00842BA8"/>
    <w:rsid w:val="00844D41"/>
    <w:rsid w:val="00846671"/>
    <w:rsid w:val="00846B4A"/>
    <w:rsid w:val="00846F6F"/>
    <w:rsid w:val="00847352"/>
    <w:rsid w:val="00850727"/>
    <w:rsid w:val="0085097B"/>
    <w:rsid w:val="00852252"/>
    <w:rsid w:val="00852D9A"/>
    <w:rsid w:val="0085379F"/>
    <w:rsid w:val="00854444"/>
    <w:rsid w:val="008612C9"/>
    <w:rsid w:val="00861305"/>
    <w:rsid w:val="00865617"/>
    <w:rsid w:val="00865F25"/>
    <w:rsid w:val="008672F2"/>
    <w:rsid w:val="0087279A"/>
    <w:rsid w:val="00872C38"/>
    <w:rsid w:val="00874A7C"/>
    <w:rsid w:val="00877687"/>
    <w:rsid w:val="008776D2"/>
    <w:rsid w:val="00877B84"/>
    <w:rsid w:val="00883A05"/>
    <w:rsid w:val="008911BB"/>
    <w:rsid w:val="00891CCE"/>
    <w:rsid w:val="008920CE"/>
    <w:rsid w:val="00893B04"/>
    <w:rsid w:val="00895EA9"/>
    <w:rsid w:val="008A074D"/>
    <w:rsid w:val="008A1841"/>
    <w:rsid w:val="008A3ADC"/>
    <w:rsid w:val="008A528D"/>
    <w:rsid w:val="008A619D"/>
    <w:rsid w:val="008B0D6E"/>
    <w:rsid w:val="008B3235"/>
    <w:rsid w:val="008B4324"/>
    <w:rsid w:val="008B6833"/>
    <w:rsid w:val="008C0158"/>
    <w:rsid w:val="008C15AF"/>
    <w:rsid w:val="008D0818"/>
    <w:rsid w:val="008D1E55"/>
    <w:rsid w:val="008D3270"/>
    <w:rsid w:val="008D4EE4"/>
    <w:rsid w:val="008D5E21"/>
    <w:rsid w:val="008D6241"/>
    <w:rsid w:val="008D6DF4"/>
    <w:rsid w:val="008D71B4"/>
    <w:rsid w:val="008E278F"/>
    <w:rsid w:val="008E36A9"/>
    <w:rsid w:val="008E3931"/>
    <w:rsid w:val="008E48A6"/>
    <w:rsid w:val="008E6C87"/>
    <w:rsid w:val="008E766A"/>
    <w:rsid w:val="008F3DC9"/>
    <w:rsid w:val="008F674C"/>
    <w:rsid w:val="008F7861"/>
    <w:rsid w:val="008F7B25"/>
    <w:rsid w:val="009031B8"/>
    <w:rsid w:val="00904D8B"/>
    <w:rsid w:val="00914C31"/>
    <w:rsid w:val="0091621D"/>
    <w:rsid w:val="009165A0"/>
    <w:rsid w:val="0091724D"/>
    <w:rsid w:val="00920522"/>
    <w:rsid w:val="00920542"/>
    <w:rsid w:val="0092145C"/>
    <w:rsid w:val="00921AC0"/>
    <w:rsid w:val="009225B9"/>
    <w:rsid w:val="0092326D"/>
    <w:rsid w:val="009233E5"/>
    <w:rsid w:val="00924215"/>
    <w:rsid w:val="009270F1"/>
    <w:rsid w:val="00931B74"/>
    <w:rsid w:val="00933E0C"/>
    <w:rsid w:val="00934324"/>
    <w:rsid w:val="00934549"/>
    <w:rsid w:val="0093603E"/>
    <w:rsid w:val="009374B0"/>
    <w:rsid w:val="00940EE1"/>
    <w:rsid w:val="00941753"/>
    <w:rsid w:val="009422DD"/>
    <w:rsid w:val="00943FCE"/>
    <w:rsid w:val="00944865"/>
    <w:rsid w:val="0094540D"/>
    <w:rsid w:val="00947C84"/>
    <w:rsid w:val="00951D50"/>
    <w:rsid w:val="0095338E"/>
    <w:rsid w:val="00954F68"/>
    <w:rsid w:val="009553BB"/>
    <w:rsid w:val="00956D8D"/>
    <w:rsid w:val="00960EF3"/>
    <w:rsid w:val="00964640"/>
    <w:rsid w:val="00971B86"/>
    <w:rsid w:val="009730C5"/>
    <w:rsid w:val="00974FF8"/>
    <w:rsid w:val="009750A9"/>
    <w:rsid w:val="00975823"/>
    <w:rsid w:val="00976984"/>
    <w:rsid w:val="009815A9"/>
    <w:rsid w:val="009817F3"/>
    <w:rsid w:val="009818E6"/>
    <w:rsid w:val="00982DF8"/>
    <w:rsid w:val="00982FED"/>
    <w:rsid w:val="009842CA"/>
    <w:rsid w:val="00985C14"/>
    <w:rsid w:val="00986C0A"/>
    <w:rsid w:val="0098704F"/>
    <w:rsid w:val="009873BF"/>
    <w:rsid w:val="00990F4B"/>
    <w:rsid w:val="009913EA"/>
    <w:rsid w:val="0099373B"/>
    <w:rsid w:val="00994361"/>
    <w:rsid w:val="00995586"/>
    <w:rsid w:val="009A4C6A"/>
    <w:rsid w:val="009A635F"/>
    <w:rsid w:val="009B134F"/>
    <w:rsid w:val="009B347D"/>
    <w:rsid w:val="009B5CA9"/>
    <w:rsid w:val="009B5F07"/>
    <w:rsid w:val="009B734E"/>
    <w:rsid w:val="009C001F"/>
    <w:rsid w:val="009C07E2"/>
    <w:rsid w:val="009C1F4F"/>
    <w:rsid w:val="009C2211"/>
    <w:rsid w:val="009C266C"/>
    <w:rsid w:val="009C332F"/>
    <w:rsid w:val="009C553C"/>
    <w:rsid w:val="009C67A2"/>
    <w:rsid w:val="009D057F"/>
    <w:rsid w:val="009D16F4"/>
    <w:rsid w:val="009D3E0A"/>
    <w:rsid w:val="009D3F69"/>
    <w:rsid w:val="009D4C2B"/>
    <w:rsid w:val="009D769D"/>
    <w:rsid w:val="009E0290"/>
    <w:rsid w:val="009E1F42"/>
    <w:rsid w:val="009E2FD5"/>
    <w:rsid w:val="009E7270"/>
    <w:rsid w:val="009F091A"/>
    <w:rsid w:val="009F1CF1"/>
    <w:rsid w:val="009F1D27"/>
    <w:rsid w:val="009F3B4F"/>
    <w:rsid w:val="009F4D79"/>
    <w:rsid w:val="009F6002"/>
    <w:rsid w:val="00A05709"/>
    <w:rsid w:val="00A0768C"/>
    <w:rsid w:val="00A10DB6"/>
    <w:rsid w:val="00A138C6"/>
    <w:rsid w:val="00A13F8E"/>
    <w:rsid w:val="00A149AA"/>
    <w:rsid w:val="00A14F42"/>
    <w:rsid w:val="00A160E0"/>
    <w:rsid w:val="00A1610B"/>
    <w:rsid w:val="00A216B2"/>
    <w:rsid w:val="00A222AA"/>
    <w:rsid w:val="00A24794"/>
    <w:rsid w:val="00A2497C"/>
    <w:rsid w:val="00A25824"/>
    <w:rsid w:val="00A301C0"/>
    <w:rsid w:val="00A31951"/>
    <w:rsid w:val="00A35202"/>
    <w:rsid w:val="00A36956"/>
    <w:rsid w:val="00A37AC6"/>
    <w:rsid w:val="00A41B34"/>
    <w:rsid w:val="00A4372B"/>
    <w:rsid w:val="00A44598"/>
    <w:rsid w:val="00A44634"/>
    <w:rsid w:val="00A459AC"/>
    <w:rsid w:val="00A45CBF"/>
    <w:rsid w:val="00A47C72"/>
    <w:rsid w:val="00A518A5"/>
    <w:rsid w:val="00A5634F"/>
    <w:rsid w:val="00A61C7C"/>
    <w:rsid w:val="00A6315D"/>
    <w:rsid w:val="00A643F8"/>
    <w:rsid w:val="00A64AB0"/>
    <w:rsid w:val="00A67D8A"/>
    <w:rsid w:val="00A71C95"/>
    <w:rsid w:val="00A72B71"/>
    <w:rsid w:val="00A747A8"/>
    <w:rsid w:val="00A758FD"/>
    <w:rsid w:val="00A76CC0"/>
    <w:rsid w:val="00A76DE1"/>
    <w:rsid w:val="00A76E07"/>
    <w:rsid w:val="00A77593"/>
    <w:rsid w:val="00A80D61"/>
    <w:rsid w:val="00A83DC7"/>
    <w:rsid w:val="00A84004"/>
    <w:rsid w:val="00A85BBB"/>
    <w:rsid w:val="00A8780D"/>
    <w:rsid w:val="00A901EA"/>
    <w:rsid w:val="00A91138"/>
    <w:rsid w:val="00A91CEF"/>
    <w:rsid w:val="00A93B2F"/>
    <w:rsid w:val="00A94F7B"/>
    <w:rsid w:val="00A959E1"/>
    <w:rsid w:val="00A95E66"/>
    <w:rsid w:val="00AA167C"/>
    <w:rsid w:val="00AA167F"/>
    <w:rsid w:val="00AA5040"/>
    <w:rsid w:val="00AA5187"/>
    <w:rsid w:val="00AA54F8"/>
    <w:rsid w:val="00AA6824"/>
    <w:rsid w:val="00AB03EE"/>
    <w:rsid w:val="00AB126C"/>
    <w:rsid w:val="00AB1673"/>
    <w:rsid w:val="00AB29A2"/>
    <w:rsid w:val="00AB4EE1"/>
    <w:rsid w:val="00AB525C"/>
    <w:rsid w:val="00AB7D69"/>
    <w:rsid w:val="00AC37FE"/>
    <w:rsid w:val="00AC3AAD"/>
    <w:rsid w:val="00AC5FB1"/>
    <w:rsid w:val="00AC6A2D"/>
    <w:rsid w:val="00AD012A"/>
    <w:rsid w:val="00AD0B9F"/>
    <w:rsid w:val="00AD374C"/>
    <w:rsid w:val="00AD3BFB"/>
    <w:rsid w:val="00AD4601"/>
    <w:rsid w:val="00AD61E4"/>
    <w:rsid w:val="00AD70FF"/>
    <w:rsid w:val="00AD73BF"/>
    <w:rsid w:val="00AE011D"/>
    <w:rsid w:val="00AE05DB"/>
    <w:rsid w:val="00AE1088"/>
    <w:rsid w:val="00AE345B"/>
    <w:rsid w:val="00AE3BAC"/>
    <w:rsid w:val="00AE4E88"/>
    <w:rsid w:val="00AE5598"/>
    <w:rsid w:val="00AE6D16"/>
    <w:rsid w:val="00AE6E9E"/>
    <w:rsid w:val="00AF1C40"/>
    <w:rsid w:val="00AF5183"/>
    <w:rsid w:val="00AF57C4"/>
    <w:rsid w:val="00AF74BD"/>
    <w:rsid w:val="00AF7614"/>
    <w:rsid w:val="00B01516"/>
    <w:rsid w:val="00B025D1"/>
    <w:rsid w:val="00B036CF"/>
    <w:rsid w:val="00B03DE6"/>
    <w:rsid w:val="00B05BBD"/>
    <w:rsid w:val="00B06FDC"/>
    <w:rsid w:val="00B11BEC"/>
    <w:rsid w:val="00B12188"/>
    <w:rsid w:val="00B13B97"/>
    <w:rsid w:val="00B1414F"/>
    <w:rsid w:val="00B141E2"/>
    <w:rsid w:val="00B14ACD"/>
    <w:rsid w:val="00B16430"/>
    <w:rsid w:val="00B16AD9"/>
    <w:rsid w:val="00B2356F"/>
    <w:rsid w:val="00B246E8"/>
    <w:rsid w:val="00B2672F"/>
    <w:rsid w:val="00B268C5"/>
    <w:rsid w:val="00B34D7C"/>
    <w:rsid w:val="00B35583"/>
    <w:rsid w:val="00B3562A"/>
    <w:rsid w:val="00B35887"/>
    <w:rsid w:val="00B40AA0"/>
    <w:rsid w:val="00B4110D"/>
    <w:rsid w:val="00B4347B"/>
    <w:rsid w:val="00B446F7"/>
    <w:rsid w:val="00B44B65"/>
    <w:rsid w:val="00B45540"/>
    <w:rsid w:val="00B463B3"/>
    <w:rsid w:val="00B46ADF"/>
    <w:rsid w:val="00B46D64"/>
    <w:rsid w:val="00B46FE8"/>
    <w:rsid w:val="00B50003"/>
    <w:rsid w:val="00B57317"/>
    <w:rsid w:val="00B60C7B"/>
    <w:rsid w:val="00B63682"/>
    <w:rsid w:val="00B66CEF"/>
    <w:rsid w:val="00B679C7"/>
    <w:rsid w:val="00B67D84"/>
    <w:rsid w:val="00B70D45"/>
    <w:rsid w:val="00B71A70"/>
    <w:rsid w:val="00B7211C"/>
    <w:rsid w:val="00B72213"/>
    <w:rsid w:val="00B74497"/>
    <w:rsid w:val="00B74ADA"/>
    <w:rsid w:val="00B750B8"/>
    <w:rsid w:val="00B75DCE"/>
    <w:rsid w:val="00B75F80"/>
    <w:rsid w:val="00B765F6"/>
    <w:rsid w:val="00B81C73"/>
    <w:rsid w:val="00B839D0"/>
    <w:rsid w:val="00B879E4"/>
    <w:rsid w:val="00B907A0"/>
    <w:rsid w:val="00B90F03"/>
    <w:rsid w:val="00B918C1"/>
    <w:rsid w:val="00B91FBF"/>
    <w:rsid w:val="00B921D0"/>
    <w:rsid w:val="00B93F03"/>
    <w:rsid w:val="00B944E9"/>
    <w:rsid w:val="00B9477E"/>
    <w:rsid w:val="00B96083"/>
    <w:rsid w:val="00B96477"/>
    <w:rsid w:val="00BA1F22"/>
    <w:rsid w:val="00BA2D69"/>
    <w:rsid w:val="00BA3070"/>
    <w:rsid w:val="00BA3AA8"/>
    <w:rsid w:val="00BA3DCB"/>
    <w:rsid w:val="00BA4564"/>
    <w:rsid w:val="00BA4AFB"/>
    <w:rsid w:val="00BA5BF3"/>
    <w:rsid w:val="00BB0168"/>
    <w:rsid w:val="00BB0BD4"/>
    <w:rsid w:val="00BB0C82"/>
    <w:rsid w:val="00BB279D"/>
    <w:rsid w:val="00BB67D4"/>
    <w:rsid w:val="00BB729F"/>
    <w:rsid w:val="00BC294F"/>
    <w:rsid w:val="00BC59ED"/>
    <w:rsid w:val="00BC7FED"/>
    <w:rsid w:val="00BD05BF"/>
    <w:rsid w:val="00BD13CF"/>
    <w:rsid w:val="00BD6ADE"/>
    <w:rsid w:val="00BE2B99"/>
    <w:rsid w:val="00BE35AD"/>
    <w:rsid w:val="00BE36C9"/>
    <w:rsid w:val="00BF0A0A"/>
    <w:rsid w:val="00BF179C"/>
    <w:rsid w:val="00BF17B4"/>
    <w:rsid w:val="00BF1C7E"/>
    <w:rsid w:val="00BF1CCC"/>
    <w:rsid w:val="00BF28C0"/>
    <w:rsid w:val="00BF37BD"/>
    <w:rsid w:val="00BF4C1E"/>
    <w:rsid w:val="00BF6A0D"/>
    <w:rsid w:val="00BF6F5E"/>
    <w:rsid w:val="00BF7989"/>
    <w:rsid w:val="00BF7E08"/>
    <w:rsid w:val="00C01953"/>
    <w:rsid w:val="00C0271D"/>
    <w:rsid w:val="00C0422A"/>
    <w:rsid w:val="00C045D4"/>
    <w:rsid w:val="00C07311"/>
    <w:rsid w:val="00C07F55"/>
    <w:rsid w:val="00C102B7"/>
    <w:rsid w:val="00C10425"/>
    <w:rsid w:val="00C127D5"/>
    <w:rsid w:val="00C128E7"/>
    <w:rsid w:val="00C12AD7"/>
    <w:rsid w:val="00C132E4"/>
    <w:rsid w:val="00C15000"/>
    <w:rsid w:val="00C1531F"/>
    <w:rsid w:val="00C15A9A"/>
    <w:rsid w:val="00C16196"/>
    <w:rsid w:val="00C16EA0"/>
    <w:rsid w:val="00C21513"/>
    <w:rsid w:val="00C219DC"/>
    <w:rsid w:val="00C2250B"/>
    <w:rsid w:val="00C23916"/>
    <w:rsid w:val="00C241A7"/>
    <w:rsid w:val="00C264CA"/>
    <w:rsid w:val="00C275B9"/>
    <w:rsid w:val="00C27673"/>
    <w:rsid w:val="00C3016B"/>
    <w:rsid w:val="00C313AE"/>
    <w:rsid w:val="00C3396C"/>
    <w:rsid w:val="00C34E24"/>
    <w:rsid w:val="00C34EA3"/>
    <w:rsid w:val="00C362EF"/>
    <w:rsid w:val="00C40639"/>
    <w:rsid w:val="00C428B2"/>
    <w:rsid w:val="00C42FF4"/>
    <w:rsid w:val="00C432F4"/>
    <w:rsid w:val="00C45E51"/>
    <w:rsid w:val="00C4641C"/>
    <w:rsid w:val="00C50830"/>
    <w:rsid w:val="00C50FBC"/>
    <w:rsid w:val="00C510BC"/>
    <w:rsid w:val="00C53D83"/>
    <w:rsid w:val="00C56DCE"/>
    <w:rsid w:val="00C57839"/>
    <w:rsid w:val="00C60CCA"/>
    <w:rsid w:val="00C61E45"/>
    <w:rsid w:val="00C62377"/>
    <w:rsid w:val="00C624E0"/>
    <w:rsid w:val="00C62B4B"/>
    <w:rsid w:val="00C64529"/>
    <w:rsid w:val="00C652E8"/>
    <w:rsid w:val="00C71895"/>
    <w:rsid w:val="00C71B1B"/>
    <w:rsid w:val="00C7208D"/>
    <w:rsid w:val="00C7715E"/>
    <w:rsid w:val="00C821DE"/>
    <w:rsid w:val="00C83A06"/>
    <w:rsid w:val="00C8410B"/>
    <w:rsid w:val="00C85051"/>
    <w:rsid w:val="00C91F07"/>
    <w:rsid w:val="00C939F7"/>
    <w:rsid w:val="00C956A9"/>
    <w:rsid w:val="00C95AD0"/>
    <w:rsid w:val="00C96381"/>
    <w:rsid w:val="00C96DF3"/>
    <w:rsid w:val="00C97872"/>
    <w:rsid w:val="00CA03E2"/>
    <w:rsid w:val="00CA08E2"/>
    <w:rsid w:val="00CA100B"/>
    <w:rsid w:val="00CA1F79"/>
    <w:rsid w:val="00CA2E2D"/>
    <w:rsid w:val="00CA49EA"/>
    <w:rsid w:val="00CA65E0"/>
    <w:rsid w:val="00CA6A94"/>
    <w:rsid w:val="00CB0609"/>
    <w:rsid w:val="00CB1C08"/>
    <w:rsid w:val="00CB2B3C"/>
    <w:rsid w:val="00CB2BA3"/>
    <w:rsid w:val="00CB44C6"/>
    <w:rsid w:val="00CB4802"/>
    <w:rsid w:val="00CB53BF"/>
    <w:rsid w:val="00CB66D5"/>
    <w:rsid w:val="00CB6A0A"/>
    <w:rsid w:val="00CB71A5"/>
    <w:rsid w:val="00CC08F4"/>
    <w:rsid w:val="00CC10F5"/>
    <w:rsid w:val="00CC1F0B"/>
    <w:rsid w:val="00CC24CD"/>
    <w:rsid w:val="00CC2D07"/>
    <w:rsid w:val="00CC35CF"/>
    <w:rsid w:val="00CC5823"/>
    <w:rsid w:val="00CC5D42"/>
    <w:rsid w:val="00CC7068"/>
    <w:rsid w:val="00CD02CE"/>
    <w:rsid w:val="00CD37BF"/>
    <w:rsid w:val="00CD3D91"/>
    <w:rsid w:val="00CD4583"/>
    <w:rsid w:val="00CD633D"/>
    <w:rsid w:val="00CE125B"/>
    <w:rsid w:val="00CE1ADF"/>
    <w:rsid w:val="00CE1F29"/>
    <w:rsid w:val="00CE26C1"/>
    <w:rsid w:val="00CE2823"/>
    <w:rsid w:val="00CE74CF"/>
    <w:rsid w:val="00CE7E38"/>
    <w:rsid w:val="00CF037F"/>
    <w:rsid w:val="00CF0818"/>
    <w:rsid w:val="00CF0C8A"/>
    <w:rsid w:val="00CF36BD"/>
    <w:rsid w:val="00CF46FB"/>
    <w:rsid w:val="00CF69A3"/>
    <w:rsid w:val="00CF7071"/>
    <w:rsid w:val="00D002E0"/>
    <w:rsid w:val="00D0211B"/>
    <w:rsid w:val="00D02559"/>
    <w:rsid w:val="00D02E2C"/>
    <w:rsid w:val="00D03896"/>
    <w:rsid w:val="00D04C51"/>
    <w:rsid w:val="00D05906"/>
    <w:rsid w:val="00D06962"/>
    <w:rsid w:val="00D07DB4"/>
    <w:rsid w:val="00D112F9"/>
    <w:rsid w:val="00D20B78"/>
    <w:rsid w:val="00D22E93"/>
    <w:rsid w:val="00D23336"/>
    <w:rsid w:val="00D25354"/>
    <w:rsid w:val="00D2651F"/>
    <w:rsid w:val="00D27B35"/>
    <w:rsid w:val="00D321DD"/>
    <w:rsid w:val="00D325C0"/>
    <w:rsid w:val="00D348A6"/>
    <w:rsid w:val="00D34B62"/>
    <w:rsid w:val="00D36E2E"/>
    <w:rsid w:val="00D40DA9"/>
    <w:rsid w:val="00D44941"/>
    <w:rsid w:val="00D4538D"/>
    <w:rsid w:val="00D51100"/>
    <w:rsid w:val="00D522F9"/>
    <w:rsid w:val="00D54175"/>
    <w:rsid w:val="00D55C7A"/>
    <w:rsid w:val="00D578D5"/>
    <w:rsid w:val="00D57FDC"/>
    <w:rsid w:val="00D60952"/>
    <w:rsid w:val="00D6543F"/>
    <w:rsid w:val="00D65C3D"/>
    <w:rsid w:val="00D66E5E"/>
    <w:rsid w:val="00D7032C"/>
    <w:rsid w:val="00D70A18"/>
    <w:rsid w:val="00D70B74"/>
    <w:rsid w:val="00D72028"/>
    <w:rsid w:val="00D727C6"/>
    <w:rsid w:val="00D72C22"/>
    <w:rsid w:val="00D75D76"/>
    <w:rsid w:val="00D75F09"/>
    <w:rsid w:val="00D77A1E"/>
    <w:rsid w:val="00D825F1"/>
    <w:rsid w:val="00D83797"/>
    <w:rsid w:val="00D83FE1"/>
    <w:rsid w:val="00D845C4"/>
    <w:rsid w:val="00D85EDE"/>
    <w:rsid w:val="00D863BF"/>
    <w:rsid w:val="00D86C6A"/>
    <w:rsid w:val="00D878C0"/>
    <w:rsid w:val="00D905E2"/>
    <w:rsid w:val="00D949EC"/>
    <w:rsid w:val="00D95308"/>
    <w:rsid w:val="00DA02F6"/>
    <w:rsid w:val="00DA106C"/>
    <w:rsid w:val="00DA3983"/>
    <w:rsid w:val="00DA47F2"/>
    <w:rsid w:val="00DA7478"/>
    <w:rsid w:val="00DB1FC6"/>
    <w:rsid w:val="00DB3BC3"/>
    <w:rsid w:val="00DB55B8"/>
    <w:rsid w:val="00DB712C"/>
    <w:rsid w:val="00DC08E7"/>
    <w:rsid w:val="00DC10F1"/>
    <w:rsid w:val="00DC5106"/>
    <w:rsid w:val="00DC5D66"/>
    <w:rsid w:val="00DC69FE"/>
    <w:rsid w:val="00DC6E50"/>
    <w:rsid w:val="00DC7783"/>
    <w:rsid w:val="00DD3A4C"/>
    <w:rsid w:val="00DD42E6"/>
    <w:rsid w:val="00DD5705"/>
    <w:rsid w:val="00DE10D3"/>
    <w:rsid w:val="00DE3B37"/>
    <w:rsid w:val="00DE4EDD"/>
    <w:rsid w:val="00DE52AD"/>
    <w:rsid w:val="00DE5740"/>
    <w:rsid w:val="00DE6057"/>
    <w:rsid w:val="00DF1BFA"/>
    <w:rsid w:val="00E013AD"/>
    <w:rsid w:val="00E05E54"/>
    <w:rsid w:val="00E05EF3"/>
    <w:rsid w:val="00E06525"/>
    <w:rsid w:val="00E11C54"/>
    <w:rsid w:val="00E13EC3"/>
    <w:rsid w:val="00E1502A"/>
    <w:rsid w:val="00E15BB0"/>
    <w:rsid w:val="00E20562"/>
    <w:rsid w:val="00E2141D"/>
    <w:rsid w:val="00E2364F"/>
    <w:rsid w:val="00E30BCE"/>
    <w:rsid w:val="00E3162F"/>
    <w:rsid w:val="00E31FCB"/>
    <w:rsid w:val="00E3276F"/>
    <w:rsid w:val="00E32D10"/>
    <w:rsid w:val="00E34738"/>
    <w:rsid w:val="00E34B47"/>
    <w:rsid w:val="00E350C8"/>
    <w:rsid w:val="00E37A82"/>
    <w:rsid w:val="00E427A4"/>
    <w:rsid w:val="00E44E18"/>
    <w:rsid w:val="00E45488"/>
    <w:rsid w:val="00E50240"/>
    <w:rsid w:val="00E51F16"/>
    <w:rsid w:val="00E51F51"/>
    <w:rsid w:val="00E53D8C"/>
    <w:rsid w:val="00E575C1"/>
    <w:rsid w:val="00E57B47"/>
    <w:rsid w:val="00E57C9D"/>
    <w:rsid w:val="00E60119"/>
    <w:rsid w:val="00E6053A"/>
    <w:rsid w:val="00E60C7B"/>
    <w:rsid w:val="00E60FBB"/>
    <w:rsid w:val="00E61374"/>
    <w:rsid w:val="00E6295C"/>
    <w:rsid w:val="00E62BA7"/>
    <w:rsid w:val="00E62F70"/>
    <w:rsid w:val="00E668B8"/>
    <w:rsid w:val="00E67E8E"/>
    <w:rsid w:val="00E73728"/>
    <w:rsid w:val="00E758DF"/>
    <w:rsid w:val="00E76EDA"/>
    <w:rsid w:val="00E80EA7"/>
    <w:rsid w:val="00E81C0B"/>
    <w:rsid w:val="00E8348E"/>
    <w:rsid w:val="00E843CC"/>
    <w:rsid w:val="00E86DB2"/>
    <w:rsid w:val="00E8731F"/>
    <w:rsid w:val="00E9079D"/>
    <w:rsid w:val="00E926E7"/>
    <w:rsid w:val="00E93364"/>
    <w:rsid w:val="00E93613"/>
    <w:rsid w:val="00E940B5"/>
    <w:rsid w:val="00EA172D"/>
    <w:rsid w:val="00EA1BA1"/>
    <w:rsid w:val="00EA6131"/>
    <w:rsid w:val="00EA66A7"/>
    <w:rsid w:val="00EB13D2"/>
    <w:rsid w:val="00EB1E26"/>
    <w:rsid w:val="00EB245D"/>
    <w:rsid w:val="00EB28E1"/>
    <w:rsid w:val="00EB29D5"/>
    <w:rsid w:val="00EB4E8A"/>
    <w:rsid w:val="00EB57FA"/>
    <w:rsid w:val="00EB76F9"/>
    <w:rsid w:val="00EB7A30"/>
    <w:rsid w:val="00EC0041"/>
    <w:rsid w:val="00EC0436"/>
    <w:rsid w:val="00EC1535"/>
    <w:rsid w:val="00EC366D"/>
    <w:rsid w:val="00EC4FE2"/>
    <w:rsid w:val="00ED1B48"/>
    <w:rsid w:val="00ED1B54"/>
    <w:rsid w:val="00EE0098"/>
    <w:rsid w:val="00EE18AF"/>
    <w:rsid w:val="00EE24A1"/>
    <w:rsid w:val="00EE4AB6"/>
    <w:rsid w:val="00EE4C60"/>
    <w:rsid w:val="00EE7539"/>
    <w:rsid w:val="00EE75C0"/>
    <w:rsid w:val="00EE77E3"/>
    <w:rsid w:val="00EE7844"/>
    <w:rsid w:val="00EE7A8F"/>
    <w:rsid w:val="00EF142A"/>
    <w:rsid w:val="00EF26F4"/>
    <w:rsid w:val="00EF3E9C"/>
    <w:rsid w:val="00EF5DAE"/>
    <w:rsid w:val="00EF5FBC"/>
    <w:rsid w:val="00EF706C"/>
    <w:rsid w:val="00F01225"/>
    <w:rsid w:val="00F02607"/>
    <w:rsid w:val="00F03B84"/>
    <w:rsid w:val="00F047DF"/>
    <w:rsid w:val="00F04867"/>
    <w:rsid w:val="00F05972"/>
    <w:rsid w:val="00F060AF"/>
    <w:rsid w:val="00F06784"/>
    <w:rsid w:val="00F13D69"/>
    <w:rsid w:val="00F16EB9"/>
    <w:rsid w:val="00F2248B"/>
    <w:rsid w:val="00F24EB2"/>
    <w:rsid w:val="00F26604"/>
    <w:rsid w:val="00F274B7"/>
    <w:rsid w:val="00F30C1C"/>
    <w:rsid w:val="00F31163"/>
    <w:rsid w:val="00F31219"/>
    <w:rsid w:val="00F32235"/>
    <w:rsid w:val="00F35C57"/>
    <w:rsid w:val="00F407DE"/>
    <w:rsid w:val="00F4215E"/>
    <w:rsid w:val="00F42C16"/>
    <w:rsid w:val="00F43EA8"/>
    <w:rsid w:val="00F54ABE"/>
    <w:rsid w:val="00F56751"/>
    <w:rsid w:val="00F57A91"/>
    <w:rsid w:val="00F61F8D"/>
    <w:rsid w:val="00F62048"/>
    <w:rsid w:val="00F63442"/>
    <w:rsid w:val="00F63F2F"/>
    <w:rsid w:val="00F64A3D"/>
    <w:rsid w:val="00F65992"/>
    <w:rsid w:val="00F66640"/>
    <w:rsid w:val="00F66F3E"/>
    <w:rsid w:val="00F66F9B"/>
    <w:rsid w:val="00F6740C"/>
    <w:rsid w:val="00F713C9"/>
    <w:rsid w:val="00F72165"/>
    <w:rsid w:val="00F734E5"/>
    <w:rsid w:val="00F739F9"/>
    <w:rsid w:val="00F81D59"/>
    <w:rsid w:val="00F8221B"/>
    <w:rsid w:val="00F82B4F"/>
    <w:rsid w:val="00F831C2"/>
    <w:rsid w:val="00F8370F"/>
    <w:rsid w:val="00F8698F"/>
    <w:rsid w:val="00F90215"/>
    <w:rsid w:val="00F91F13"/>
    <w:rsid w:val="00F92A11"/>
    <w:rsid w:val="00F93F57"/>
    <w:rsid w:val="00F94237"/>
    <w:rsid w:val="00F94E5F"/>
    <w:rsid w:val="00F976B9"/>
    <w:rsid w:val="00FA2AF9"/>
    <w:rsid w:val="00FA2CFA"/>
    <w:rsid w:val="00FA382E"/>
    <w:rsid w:val="00FA3B48"/>
    <w:rsid w:val="00FA3F13"/>
    <w:rsid w:val="00FA408A"/>
    <w:rsid w:val="00FA4E3E"/>
    <w:rsid w:val="00FB6C16"/>
    <w:rsid w:val="00FC0CB2"/>
    <w:rsid w:val="00FC459F"/>
    <w:rsid w:val="00FC45F0"/>
    <w:rsid w:val="00FC5850"/>
    <w:rsid w:val="00FC75E9"/>
    <w:rsid w:val="00FD0951"/>
    <w:rsid w:val="00FD15F8"/>
    <w:rsid w:val="00FD35E6"/>
    <w:rsid w:val="00FD4431"/>
    <w:rsid w:val="00FD7929"/>
    <w:rsid w:val="00FD7C96"/>
    <w:rsid w:val="00FD7D12"/>
    <w:rsid w:val="00FE4C3D"/>
    <w:rsid w:val="00FE5708"/>
    <w:rsid w:val="00FE5C29"/>
    <w:rsid w:val="00FF179A"/>
    <w:rsid w:val="00FF3BFF"/>
    <w:rsid w:val="00FF43EC"/>
    <w:rsid w:val="00FF5C7D"/>
    <w:rsid w:val="00FF7405"/>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010D0A0"/>
  <w15:docId w15:val="{C711C531-804F-4615-8720-CCFA7548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12"/>
    <w:rPr>
      <w:rFonts w:ascii="CG Times (W1)" w:hAnsi="CG Times (W1)"/>
      <w:lang w:bidi="he-IL"/>
    </w:rPr>
  </w:style>
  <w:style w:type="paragraph" w:styleId="1">
    <w:name w:val="heading 1"/>
    <w:basedOn w:val="a"/>
    <w:next w:val="a"/>
    <w:qFormat/>
    <w:rsid w:val="000A3FF4"/>
    <w:pPr>
      <w:keepNext/>
      <w:keepLines/>
      <w:spacing w:line="240" w:lineRule="exact"/>
      <w:jc w:val="both"/>
      <w:outlineLvl w:val="0"/>
    </w:pPr>
    <w:rPr>
      <w:rFonts w:ascii="Arial" w:hAnsi="Arial"/>
      <w:b/>
      <w:sz w:val="24"/>
    </w:rPr>
  </w:style>
  <w:style w:type="paragraph" w:styleId="2">
    <w:name w:val="heading 2"/>
    <w:basedOn w:val="a"/>
    <w:next w:val="a"/>
    <w:qFormat/>
    <w:rsid w:val="000A3FF4"/>
    <w:pPr>
      <w:keepNext/>
      <w:spacing w:line="240" w:lineRule="exact"/>
      <w:outlineLvl w:val="1"/>
    </w:pPr>
    <w:rPr>
      <w:rFonts w:ascii="Arial" w:hAnsi="Arial" w:cs="Arial"/>
      <w:b/>
      <w:bCs/>
    </w:rPr>
  </w:style>
  <w:style w:type="paragraph" w:styleId="3">
    <w:name w:val="heading 3"/>
    <w:basedOn w:val="a"/>
    <w:next w:val="a"/>
    <w:qFormat/>
    <w:rsid w:val="000A3FF4"/>
    <w:pPr>
      <w:keepNext/>
      <w:spacing w:line="240" w:lineRule="exact"/>
      <w:outlineLvl w:val="2"/>
    </w:pPr>
    <w:rPr>
      <w:rFonts w:ascii="Arial"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semiHidden/>
    <w:rsid w:val="000A3FF4"/>
    <w:rPr>
      <w:vertAlign w:val="superscript"/>
    </w:rPr>
  </w:style>
  <w:style w:type="character" w:styleId="a4">
    <w:name w:val="footnote reference"/>
    <w:basedOn w:val="a0"/>
    <w:semiHidden/>
    <w:rsid w:val="000A3FF4"/>
    <w:rPr>
      <w:vertAlign w:val="superscript"/>
    </w:rPr>
  </w:style>
  <w:style w:type="paragraph" w:styleId="a5">
    <w:name w:val="footer"/>
    <w:basedOn w:val="a"/>
    <w:rsid w:val="000A3FF4"/>
    <w:pPr>
      <w:tabs>
        <w:tab w:val="center" w:pos="4320"/>
        <w:tab w:val="right" w:pos="8640"/>
      </w:tabs>
    </w:pPr>
  </w:style>
  <w:style w:type="paragraph" w:styleId="a6">
    <w:name w:val="header"/>
    <w:basedOn w:val="a"/>
    <w:rsid w:val="000A3FF4"/>
    <w:pPr>
      <w:tabs>
        <w:tab w:val="center" w:pos="4320"/>
        <w:tab w:val="right" w:pos="8640"/>
      </w:tabs>
    </w:pPr>
  </w:style>
  <w:style w:type="character" w:styleId="a7">
    <w:name w:val="Hyperlink"/>
    <w:basedOn w:val="a0"/>
    <w:rsid w:val="000A3FF4"/>
    <w:rPr>
      <w:color w:val="0000FF"/>
      <w:u w:val="single"/>
    </w:rPr>
  </w:style>
  <w:style w:type="paragraph" w:styleId="a8">
    <w:name w:val="Body Text"/>
    <w:basedOn w:val="a"/>
    <w:rsid w:val="000A3FF4"/>
    <w:pPr>
      <w:autoSpaceDE w:val="0"/>
      <w:autoSpaceDN w:val="0"/>
      <w:adjustRightInd w:val="0"/>
    </w:pPr>
    <w:rPr>
      <w:rFonts w:ascii="Arial" w:hAnsi="Arial"/>
      <w:sz w:val="24"/>
    </w:rPr>
  </w:style>
  <w:style w:type="character" w:styleId="a9">
    <w:name w:val="FollowedHyperlink"/>
    <w:basedOn w:val="a0"/>
    <w:rsid w:val="000A3FF4"/>
    <w:rPr>
      <w:color w:val="800080"/>
      <w:u w:val="single"/>
    </w:rPr>
  </w:style>
  <w:style w:type="paragraph" w:styleId="20">
    <w:name w:val="Body Text 2"/>
    <w:basedOn w:val="a"/>
    <w:rsid w:val="000A3FF4"/>
    <w:rPr>
      <w:rFonts w:ascii="Palatino" w:hAnsi="Palatino"/>
      <w:color w:val="000000"/>
      <w:sz w:val="16"/>
      <w:szCs w:val="36"/>
      <w:lang w:bidi="ar-SA"/>
    </w:rPr>
  </w:style>
  <w:style w:type="paragraph" w:styleId="Web">
    <w:name w:val="Normal (Web)"/>
    <w:basedOn w:val="a"/>
    <w:rsid w:val="008C0158"/>
    <w:pPr>
      <w:spacing w:before="100" w:beforeAutospacing="1" w:after="100" w:afterAutospacing="1"/>
    </w:pPr>
    <w:rPr>
      <w:rFonts w:ascii="Times New Roman" w:hAnsi="Times New Roman"/>
      <w:sz w:val="24"/>
      <w:szCs w:val="24"/>
      <w:lang w:bidi="ar-SA"/>
    </w:rPr>
  </w:style>
  <w:style w:type="character" w:customStyle="1" w:styleId="authorbyline1">
    <w:name w:val="authorbyline1"/>
    <w:basedOn w:val="a0"/>
    <w:rsid w:val="00621244"/>
  </w:style>
  <w:style w:type="paragraph" w:styleId="aa">
    <w:name w:val="Balloon Text"/>
    <w:basedOn w:val="a"/>
    <w:semiHidden/>
    <w:rsid w:val="00D65C3D"/>
    <w:rPr>
      <w:rFonts w:ascii="Tahoma" w:hAnsi="Tahoma" w:cs="Tahoma"/>
      <w:sz w:val="16"/>
      <w:szCs w:val="16"/>
    </w:rPr>
  </w:style>
  <w:style w:type="character" w:styleId="ab">
    <w:name w:val="Emphasis"/>
    <w:basedOn w:val="a0"/>
    <w:qFormat/>
    <w:rsid w:val="0038413D"/>
    <w:rPr>
      <w:i/>
      <w:iCs/>
    </w:rPr>
  </w:style>
  <w:style w:type="paragraph" w:styleId="ac">
    <w:name w:val="footnote text"/>
    <w:basedOn w:val="a"/>
    <w:semiHidden/>
    <w:rsid w:val="00EA172D"/>
  </w:style>
  <w:style w:type="character" w:customStyle="1" w:styleId="label1">
    <w:name w:val="label1"/>
    <w:basedOn w:val="a0"/>
    <w:rsid w:val="00B63682"/>
    <w:rPr>
      <w:b/>
      <w:bCs/>
    </w:rPr>
  </w:style>
  <w:style w:type="paragraph" w:styleId="ad">
    <w:name w:val="Body Text Indent"/>
    <w:basedOn w:val="a"/>
    <w:link w:val="ae"/>
    <w:rsid w:val="00DE6057"/>
    <w:pPr>
      <w:spacing w:after="120"/>
      <w:ind w:left="360"/>
    </w:pPr>
  </w:style>
  <w:style w:type="character" w:customStyle="1" w:styleId="ae">
    <w:name w:val="本文縮排 字元"/>
    <w:basedOn w:val="a0"/>
    <w:link w:val="ad"/>
    <w:rsid w:val="00DE6057"/>
    <w:rPr>
      <w:rFonts w:ascii="CG Times (W1)" w:hAnsi="CG Times (W1)"/>
      <w:lang w:bidi="he-IL"/>
    </w:rPr>
  </w:style>
  <w:style w:type="paragraph" w:styleId="af">
    <w:name w:val="List Paragraph"/>
    <w:basedOn w:val="a"/>
    <w:uiPriority w:val="34"/>
    <w:qFormat/>
    <w:rsid w:val="007F5E45"/>
    <w:pPr>
      <w:ind w:left="720"/>
      <w:contextualSpacing/>
    </w:pPr>
  </w:style>
  <w:style w:type="paragraph" w:customStyle="1" w:styleId="Default">
    <w:name w:val="Default"/>
    <w:rsid w:val="0098704F"/>
    <w:pPr>
      <w:autoSpaceDE w:val="0"/>
      <w:autoSpaceDN w:val="0"/>
      <w:adjustRightInd w:val="0"/>
    </w:pPr>
    <w:rPr>
      <w:rFonts w:ascii="Cambria" w:hAnsi="Cambria" w:cs="Cambria"/>
      <w:color w:val="000000"/>
      <w:sz w:val="24"/>
      <w:szCs w:val="24"/>
    </w:rPr>
  </w:style>
  <w:style w:type="paragraph" w:styleId="af0">
    <w:name w:val="No Spacing"/>
    <w:uiPriority w:val="1"/>
    <w:qFormat/>
    <w:rsid w:val="00B3562A"/>
    <w:rPr>
      <w:rFonts w:asciiTheme="minorHAnsi" w:eastAsiaTheme="minorHAnsi" w:hAnsiTheme="minorHAnsi" w:cstheme="minorBidi"/>
      <w:sz w:val="22"/>
      <w:szCs w:val="22"/>
    </w:rPr>
  </w:style>
  <w:style w:type="character" w:styleId="af1">
    <w:name w:val="annotation reference"/>
    <w:basedOn w:val="a0"/>
    <w:semiHidden/>
    <w:unhideWhenUsed/>
    <w:rsid w:val="00811324"/>
    <w:rPr>
      <w:sz w:val="16"/>
      <w:szCs w:val="16"/>
    </w:rPr>
  </w:style>
  <w:style w:type="paragraph" w:styleId="af2">
    <w:name w:val="annotation text"/>
    <w:basedOn w:val="a"/>
    <w:link w:val="af3"/>
    <w:semiHidden/>
    <w:unhideWhenUsed/>
    <w:rsid w:val="00811324"/>
  </w:style>
  <w:style w:type="character" w:customStyle="1" w:styleId="af3">
    <w:name w:val="註解文字 字元"/>
    <w:basedOn w:val="a0"/>
    <w:link w:val="af2"/>
    <w:semiHidden/>
    <w:rsid w:val="00811324"/>
    <w:rPr>
      <w:rFonts w:ascii="CG Times (W1)" w:hAnsi="CG Times (W1)"/>
      <w:lang w:bidi="he-IL"/>
    </w:rPr>
  </w:style>
  <w:style w:type="paragraph" w:styleId="af4">
    <w:name w:val="annotation subject"/>
    <w:basedOn w:val="af2"/>
    <w:next w:val="af2"/>
    <w:link w:val="af5"/>
    <w:semiHidden/>
    <w:unhideWhenUsed/>
    <w:rsid w:val="00811324"/>
    <w:rPr>
      <w:b/>
      <w:bCs/>
    </w:rPr>
  </w:style>
  <w:style w:type="character" w:customStyle="1" w:styleId="af5">
    <w:name w:val="註解主旨 字元"/>
    <w:basedOn w:val="af3"/>
    <w:link w:val="af4"/>
    <w:semiHidden/>
    <w:rsid w:val="00811324"/>
    <w:rPr>
      <w:rFonts w:ascii="CG Times (W1)" w:hAnsi="CG Times (W1)"/>
      <w:b/>
      <w:bCs/>
      <w:lang w:bidi="he-IL"/>
    </w:rPr>
  </w:style>
  <w:style w:type="paragraph" w:styleId="af6">
    <w:name w:val="Revision"/>
    <w:hidden/>
    <w:uiPriority w:val="99"/>
    <w:semiHidden/>
    <w:rsid w:val="00811324"/>
    <w:rPr>
      <w:rFonts w:ascii="CG Times (W1)" w:hAnsi="CG Times (W1)"/>
      <w:lang w:bidi="he-IL"/>
    </w:rPr>
  </w:style>
  <w:style w:type="character" w:styleId="af7">
    <w:name w:val="Strong"/>
    <w:basedOn w:val="a0"/>
    <w:uiPriority w:val="22"/>
    <w:qFormat/>
    <w:rsid w:val="004A2CC0"/>
    <w:rPr>
      <w:b/>
      <w:bCs/>
    </w:rPr>
  </w:style>
  <w:style w:type="paragraph" w:styleId="af8">
    <w:name w:val="Title"/>
    <w:basedOn w:val="a"/>
    <w:next w:val="a"/>
    <w:link w:val="af9"/>
    <w:qFormat/>
    <w:rsid w:val="00F62048"/>
    <w:pPr>
      <w:spacing w:before="240" w:after="60"/>
      <w:jc w:val="center"/>
      <w:outlineLvl w:val="0"/>
    </w:pPr>
    <w:rPr>
      <w:rFonts w:asciiTheme="majorHAnsi" w:eastAsiaTheme="majorEastAsia" w:hAnsiTheme="majorHAnsi" w:cstheme="majorBidi"/>
      <w:b/>
      <w:bCs/>
      <w:sz w:val="32"/>
      <w:szCs w:val="32"/>
    </w:rPr>
  </w:style>
  <w:style w:type="character" w:customStyle="1" w:styleId="af9">
    <w:name w:val="標題 字元"/>
    <w:basedOn w:val="a0"/>
    <w:link w:val="af8"/>
    <w:rsid w:val="00F62048"/>
    <w:rPr>
      <w:rFonts w:asciiTheme="majorHAnsi" w:eastAsiaTheme="majorEastAsia" w:hAnsiTheme="majorHAnsi" w:cstheme="majorBidi"/>
      <w:b/>
      <w:bCs/>
      <w:sz w:val="32"/>
      <w:szCs w:val="32"/>
      <w:lang w:bidi="he-IL"/>
    </w:rPr>
  </w:style>
  <w:style w:type="paragraph" w:styleId="afa">
    <w:name w:val="Subtitle"/>
    <w:basedOn w:val="a"/>
    <w:next w:val="a"/>
    <w:link w:val="afb"/>
    <w:qFormat/>
    <w:rsid w:val="009C67A2"/>
    <w:pPr>
      <w:spacing w:after="60"/>
      <w:jc w:val="center"/>
      <w:outlineLvl w:val="1"/>
    </w:pPr>
    <w:rPr>
      <w:rFonts w:asciiTheme="minorHAnsi" w:hAnsiTheme="minorHAnsi" w:cstheme="minorBidi"/>
      <w:sz w:val="24"/>
      <w:szCs w:val="24"/>
    </w:rPr>
  </w:style>
  <w:style w:type="character" w:customStyle="1" w:styleId="afb">
    <w:name w:val="副標題 字元"/>
    <w:basedOn w:val="a0"/>
    <w:link w:val="afa"/>
    <w:rsid w:val="009C67A2"/>
    <w:rPr>
      <w:rFonts w:asciiTheme="minorHAnsi" w:hAnsiTheme="minorHAnsi" w:cstheme="minorBidi"/>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2256">
      <w:bodyDiv w:val="1"/>
      <w:marLeft w:val="0"/>
      <w:marRight w:val="0"/>
      <w:marTop w:val="0"/>
      <w:marBottom w:val="0"/>
      <w:divBdr>
        <w:top w:val="none" w:sz="0" w:space="0" w:color="auto"/>
        <w:left w:val="none" w:sz="0" w:space="0" w:color="auto"/>
        <w:bottom w:val="none" w:sz="0" w:space="0" w:color="auto"/>
        <w:right w:val="none" w:sz="0" w:space="0" w:color="auto"/>
      </w:divBdr>
      <w:divsChild>
        <w:div w:id="1750885687">
          <w:marLeft w:val="0"/>
          <w:marRight w:val="0"/>
          <w:marTop w:val="0"/>
          <w:marBottom w:val="0"/>
          <w:divBdr>
            <w:top w:val="none" w:sz="0" w:space="0" w:color="auto"/>
            <w:left w:val="none" w:sz="0" w:space="0" w:color="auto"/>
            <w:bottom w:val="none" w:sz="0" w:space="0" w:color="auto"/>
            <w:right w:val="none" w:sz="0" w:space="0" w:color="auto"/>
          </w:divBdr>
          <w:divsChild>
            <w:div w:id="651107009">
              <w:marLeft w:val="0"/>
              <w:marRight w:val="0"/>
              <w:marTop w:val="0"/>
              <w:marBottom w:val="0"/>
              <w:divBdr>
                <w:top w:val="none" w:sz="0" w:space="0" w:color="auto"/>
                <w:left w:val="none" w:sz="0" w:space="0" w:color="auto"/>
                <w:bottom w:val="none" w:sz="0" w:space="0" w:color="auto"/>
                <w:right w:val="none" w:sz="0" w:space="0" w:color="auto"/>
              </w:divBdr>
              <w:divsChild>
                <w:div w:id="237329605">
                  <w:marLeft w:val="0"/>
                  <w:marRight w:val="0"/>
                  <w:marTop w:val="195"/>
                  <w:marBottom w:val="100"/>
                  <w:divBdr>
                    <w:top w:val="none" w:sz="0" w:space="0" w:color="auto"/>
                    <w:left w:val="none" w:sz="0" w:space="0" w:color="auto"/>
                    <w:bottom w:val="none" w:sz="0" w:space="0" w:color="auto"/>
                    <w:right w:val="none" w:sz="0" w:space="0" w:color="auto"/>
                  </w:divBdr>
                  <w:divsChild>
                    <w:div w:id="2111924799">
                      <w:marLeft w:val="0"/>
                      <w:marRight w:val="0"/>
                      <w:marTop w:val="0"/>
                      <w:marBottom w:val="0"/>
                      <w:divBdr>
                        <w:top w:val="none" w:sz="0" w:space="0" w:color="auto"/>
                        <w:left w:val="none" w:sz="0" w:space="0" w:color="auto"/>
                        <w:bottom w:val="none" w:sz="0" w:space="0" w:color="auto"/>
                        <w:right w:val="none" w:sz="0" w:space="0" w:color="auto"/>
                      </w:divBdr>
                      <w:divsChild>
                        <w:div w:id="286815517">
                          <w:marLeft w:val="1596"/>
                          <w:marRight w:val="8"/>
                          <w:marTop w:val="0"/>
                          <w:marBottom w:val="0"/>
                          <w:divBdr>
                            <w:top w:val="none" w:sz="0" w:space="0" w:color="auto"/>
                            <w:left w:val="none" w:sz="0" w:space="0" w:color="auto"/>
                            <w:bottom w:val="none" w:sz="0" w:space="0" w:color="auto"/>
                            <w:right w:val="none" w:sz="0" w:space="0" w:color="auto"/>
                          </w:divBdr>
                          <w:divsChild>
                            <w:div w:id="180239968">
                              <w:marLeft w:val="0"/>
                              <w:marRight w:val="0"/>
                              <w:marTop w:val="0"/>
                              <w:marBottom w:val="0"/>
                              <w:divBdr>
                                <w:top w:val="none" w:sz="0" w:space="0" w:color="auto"/>
                                <w:left w:val="none" w:sz="0" w:space="0" w:color="auto"/>
                                <w:bottom w:val="none" w:sz="0" w:space="0" w:color="auto"/>
                                <w:right w:val="none" w:sz="0" w:space="0" w:color="auto"/>
                              </w:divBdr>
                              <w:divsChild>
                                <w:div w:id="1753506780">
                                  <w:marLeft w:val="0"/>
                                  <w:marRight w:val="0"/>
                                  <w:marTop w:val="0"/>
                                  <w:marBottom w:val="0"/>
                                  <w:divBdr>
                                    <w:top w:val="none" w:sz="0" w:space="0" w:color="auto"/>
                                    <w:left w:val="none" w:sz="0" w:space="0" w:color="auto"/>
                                    <w:bottom w:val="none" w:sz="0" w:space="0" w:color="auto"/>
                                    <w:right w:val="none" w:sz="0" w:space="0" w:color="auto"/>
                                  </w:divBdr>
                                  <w:divsChild>
                                    <w:div w:id="1130631302">
                                      <w:marLeft w:val="0"/>
                                      <w:marRight w:val="0"/>
                                      <w:marTop w:val="0"/>
                                      <w:marBottom w:val="0"/>
                                      <w:divBdr>
                                        <w:top w:val="none" w:sz="0" w:space="0" w:color="auto"/>
                                        <w:left w:val="none" w:sz="0" w:space="0" w:color="auto"/>
                                        <w:bottom w:val="none" w:sz="0" w:space="0" w:color="auto"/>
                                        <w:right w:val="none" w:sz="0" w:space="0" w:color="auto"/>
                                      </w:divBdr>
                                      <w:divsChild>
                                        <w:div w:id="1776170863">
                                          <w:marLeft w:val="0"/>
                                          <w:marRight w:val="0"/>
                                          <w:marTop w:val="0"/>
                                          <w:marBottom w:val="0"/>
                                          <w:divBdr>
                                            <w:top w:val="none" w:sz="0" w:space="0" w:color="auto"/>
                                            <w:left w:val="none" w:sz="0" w:space="0" w:color="auto"/>
                                            <w:bottom w:val="none" w:sz="0" w:space="0" w:color="auto"/>
                                            <w:right w:val="none" w:sz="0" w:space="0" w:color="auto"/>
                                          </w:divBdr>
                                          <w:divsChild>
                                            <w:div w:id="1848011506">
                                              <w:marLeft w:val="0"/>
                                              <w:marRight w:val="0"/>
                                              <w:marTop w:val="0"/>
                                              <w:marBottom w:val="93"/>
                                              <w:divBdr>
                                                <w:top w:val="none" w:sz="0" w:space="0" w:color="auto"/>
                                                <w:left w:val="none" w:sz="0" w:space="0" w:color="auto"/>
                                                <w:bottom w:val="none" w:sz="0" w:space="0" w:color="auto"/>
                                                <w:right w:val="none" w:sz="0" w:space="0" w:color="auto"/>
                                              </w:divBdr>
                                              <w:divsChild>
                                                <w:div w:id="12634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28819">
      <w:bodyDiv w:val="1"/>
      <w:marLeft w:val="0"/>
      <w:marRight w:val="0"/>
      <w:marTop w:val="0"/>
      <w:marBottom w:val="0"/>
      <w:divBdr>
        <w:top w:val="none" w:sz="0" w:space="0" w:color="auto"/>
        <w:left w:val="none" w:sz="0" w:space="0" w:color="auto"/>
        <w:bottom w:val="none" w:sz="0" w:space="0" w:color="auto"/>
        <w:right w:val="none" w:sz="0" w:space="0" w:color="auto"/>
      </w:divBdr>
    </w:div>
    <w:div w:id="117994197">
      <w:bodyDiv w:val="1"/>
      <w:marLeft w:val="0"/>
      <w:marRight w:val="0"/>
      <w:marTop w:val="0"/>
      <w:marBottom w:val="0"/>
      <w:divBdr>
        <w:top w:val="none" w:sz="0" w:space="0" w:color="auto"/>
        <w:left w:val="none" w:sz="0" w:space="0" w:color="auto"/>
        <w:bottom w:val="none" w:sz="0" w:space="0" w:color="auto"/>
        <w:right w:val="none" w:sz="0" w:space="0" w:color="auto"/>
      </w:divBdr>
    </w:div>
    <w:div w:id="146556900">
      <w:bodyDiv w:val="1"/>
      <w:marLeft w:val="0"/>
      <w:marRight w:val="0"/>
      <w:marTop w:val="0"/>
      <w:marBottom w:val="0"/>
      <w:divBdr>
        <w:top w:val="none" w:sz="0" w:space="0" w:color="auto"/>
        <w:left w:val="none" w:sz="0" w:space="0" w:color="auto"/>
        <w:bottom w:val="none" w:sz="0" w:space="0" w:color="auto"/>
        <w:right w:val="none" w:sz="0" w:space="0" w:color="auto"/>
      </w:divBdr>
    </w:div>
    <w:div w:id="304631383">
      <w:bodyDiv w:val="1"/>
      <w:marLeft w:val="0"/>
      <w:marRight w:val="0"/>
      <w:marTop w:val="0"/>
      <w:marBottom w:val="0"/>
      <w:divBdr>
        <w:top w:val="none" w:sz="0" w:space="0" w:color="auto"/>
        <w:left w:val="none" w:sz="0" w:space="0" w:color="auto"/>
        <w:bottom w:val="none" w:sz="0" w:space="0" w:color="auto"/>
        <w:right w:val="none" w:sz="0" w:space="0" w:color="auto"/>
      </w:divBdr>
    </w:div>
    <w:div w:id="408696221">
      <w:bodyDiv w:val="1"/>
      <w:marLeft w:val="0"/>
      <w:marRight w:val="0"/>
      <w:marTop w:val="0"/>
      <w:marBottom w:val="0"/>
      <w:divBdr>
        <w:top w:val="none" w:sz="0" w:space="0" w:color="auto"/>
        <w:left w:val="none" w:sz="0" w:space="0" w:color="auto"/>
        <w:bottom w:val="none" w:sz="0" w:space="0" w:color="auto"/>
        <w:right w:val="none" w:sz="0" w:space="0" w:color="auto"/>
      </w:divBdr>
    </w:div>
    <w:div w:id="413864458">
      <w:bodyDiv w:val="1"/>
      <w:marLeft w:val="0"/>
      <w:marRight w:val="0"/>
      <w:marTop w:val="0"/>
      <w:marBottom w:val="0"/>
      <w:divBdr>
        <w:top w:val="none" w:sz="0" w:space="0" w:color="auto"/>
        <w:left w:val="none" w:sz="0" w:space="0" w:color="auto"/>
        <w:bottom w:val="none" w:sz="0" w:space="0" w:color="auto"/>
        <w:right w:val="none" w:sz="0" w:space="0" w:color="auto"/>
      </w:divBdr>
      <w:divsChild>
        <w:div w:id="40593769">
          <w:marLeft w:val="0"/>
          <w:marRight w:val="0"/>
          <w:marTop w:val="0"/>
          <w:marBottom w:val="0"/>
          <w:divBdr>
            <w:top w:val="none" w:sz="0" w:space="0" w:color="auto"/>
            <w:left w:val="none" w:sz="0" w:space="0" w:color="auto"/>
            <w:bottom w:val="none" w:sz="0" w:space="0" w:color="auto"/>
            <w:right w:val="none" w:sz="0" w:space="0" w:color="auto"/>
          </w:divBdr>
          <w:divsChild>
            <w:div w:id="1211379759">
              <w:marLeft w:val="0"/>
              <w:marRight w:val="0"/>
              <w:marTop w:val="0"/>
              <w:marBottom w:val="0"/>
              <w:divBdr>
                <w:top w:val="none" w:sz="0" w:space="0" w:color="auto"/>
                <w:left w:val="none" w:sz="0" w:space="0" w:color="auto"/>
                <w:bottom w:val="none" w:sz="0" w:space="0" w:color="auto"/>
                <w:right w:val="none" w:sz="0" w:space="0" w:color="auto"/>
              </w:divBdr>
              <w:divsChild>
                <w:div w:id="293026912">
                  <w:marLeft w:val="0"/>
                  <w:marRight w:val="0"/>
                  <w:marTop w:val="195"/>
                  <w:marBottom w:val="100"/>
                  <w:divBdr>
                    <w:top w:val="none" w:sz="0" w:space="0" w:color="auto"/>
                    <w:left w:val="none" w:sz="0" w:space="0" w:color="auto"/>
                    <w:bottom w:val="none" w:sz="0" w:space="0" w:color="auto"/>
                    <w:right w:val="none" w:sz="0" w:space="0" w:color="auto"/>
                  </w:divBdr>
                  <w:divsChild>
                    <w:div w:id="1869875715">
                      <w:marLeft w:val="0"/>
                      <w:marRight w:val="0"/>
                      <w:marTop w:val="0"/>
                      <w:marBottom w:val="0"/>
                      <w:divBdr>
                        <w:top w:val="none" w:sz="0" w:space="0" w:color="auto"/>
                        <w:left w:val="none" w:sz="0" w:space="0" w:color="auto"/>
                        <w:bottom w:val="none" w:sz="0" w:space="0" w:color="auto"/>
                        <w:right w:val="none" w:sz="0" w:space="0" w:color="auto"/>
                      </w:divBdr>
                      <w:divsChild>
                        <w:div w:id="394547152">
                          <w:marLeft w:val="1596"/>
                          <w:marRight w:val="8"/>
                          <w:marTop w:val="0"/>
                          <w:marBottom w:val="0"/>
                          <w:divBdr>
                            <w:top w:val="none" w:sz="0" w:space="0" w:color="auto"/>
                            <w:left w:val="none" w:sz="0" w:space="0" w:color="auto"/>
                            <w:bottom w:val="none" w:sz="0" w:space="0" w:color="auto"/>
                            <w:right w:val="none" w:sz="0" w:space="0" w:color="auto"/>
                          </w:divBdr>
                          <w:divsChild>
                            <w:div w:id="64884691">
                              <w:marLeft w:val="0"/>
                              <w:marRight w:val="0"/>
                              <w:marTop w:val="0"/>
                              <w:marBottom w:val="0"/>
                              <w:divBdr>
                                <w:top w:val="none" w:sz="0" w:space="0" w:color="auto"/>
                                <w:left w:val="none" w:sz="0" w:space="0" w:color="auto"/>
                                <w:bottom w:val="none" w:sz="0" w:space="0" w:color="auto"/>
                                <w:right w:val="none" w:sz="0" w:space="0" w:color="auto"/>
                              </w:divBdr>
                              <w:divsChild>
                                <w:div w:id="125009555">
                                  <w:marLeft w:val="0"/>
                                  <w:marRight w:val="0"/>
                                  <w:marTop w:val="0"/>
                                  <w:marBottom w:val="0"/>
                                  <w:divBdr>
                                    <w:top w:val="none" w:sz="0" w:space="0" w:color="auto"/>
                                    <w:left w:val="none" w:sz="0" w:space="0" w:color="auto"/>
                                    <w:bottom w:val="none" w:sz="0" w:space="0" w:color="auto"/>
                                    <w:right w:val="none" w:sz="0" w:space="0" w:color="auto"/>
                                  </w:divBdr>
                                  <w:divsChild>
                                    <w:div w:id="405878074">
                                      <w:marLeft w:val="0"/>
                                      <w:marRight w:val="0"/>
                                      <w:marTop w:val="0"/>
                                      <w:marBottom w:val="0"/>
                                      <w:divBdr>
                                        <w:top w:val="none" w:sz="0" w:space="0" w:color="auto"/>
                                        <w:left w:val="none" w:sz="0" w:space="0" w:color="auto"/>
                                        <w:bottom w:val="none" w:sz="0" w:space="0" w:color="auto"/>
                                        <w:right w:val="none" w:sz="0" w:space="0" w:color="auto"/>
                                      </w:divBdr>
                                      <w:divsChild>
                                        <w:div w:id="1985498515">
                                          <w:marLeft w:val="0"/>
                                          <w:marRight w:val="0"/>
                                          <w:marTop w:val="0"/>
                                          <w:marBottom w:val="0"/>
                                          <w:divBdr>
                                            <w:top w:val="none" w:sz="0" w:space="0" w:color="auto"/>
                                            <w:left w:val="none" w:sz="0" w:space="0" w:color="auto"/>
                                            <w:bottom w:val="none" w:sz="0" w:space="0" w:color="auto"/>
                                            <w:right w:val="none" w:sz="0" w:space="0" w:color="auto"/>
                                          </w:divBdr>
                                          <w:divsChild>
                                            <w:div w:id="1675766039">
                                              <w:marLeft w:val="0"/>
                                              <w:marRight w:val="0"/>
                                              <w:marTop w:val="0"/>
                                              <w:marBottom w:val="93"/>
                                              <w:divBdr>
                                                <w:top w:val="none" w:sz="0" w:space="0" w:color="auto"/>
                                                <w:left w:val="none" w:sz="0" w:space="0" w:color="auto"/>
                                                <w:bottom w:val="none" w:sz="0" w:space="0" w:color="auto"/>
                                                <w:right w:val="none" w:sz="0" w:space="0" w:color="auto"/>
                                              </w:divBdr>
                                              <w:divsChild>
                                                <w:div w:id="2356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807804">
      <w:bodyDiv w:val="1"/>
      <w:marLeft w:val="0"/>
      <w:marRight w:val="0"/>
      <w:marTop w:val="0"/>
      <w:marBottom w:val="0"/>
      <w:divBdr>
        <w:top w:val="none" w:sz="0" w:space="0" w:color="auto"/>
        <w:left w:val="none" w:sz="0" w:space="0" w:color="auto"/>
        <w:bottom w:val="none" w:sz="0" w:space="0" w:color="auto"/>
        <w:right w:val="none" w:sz="0" w:space="0" w:color="auto"/>
      </w:divBdr>
    </w:div>
    <w:div w:id="751392951">
      <w:bodyDiv w:val="1"/>
      <w:marLeft w:val="0"/>
      <w:marRight w:val="0"/>
      <w:marTop w:val="0"/>
      <w:marBottom w:val="0"/>
      <w:divBdr>
        <w:top w:val="none" w:sz="0" w:space="0" w:color="auto"/>
        <w:left w:val="none" w:sz="0" w:space="0" w:color="auto"/>
        <w:bottom w:val="none" w:sz="0" w:space="0" w:color="auto"/>
        <w:right w:val="none" w:sz="0" w:space="0" w:color="auto"/>
      </w:divBdr>
    </w:div>
    <w:div w:id="881938613">
      <w:bodyDiv w:val="1"/>
      <w:marLeft w:val="0"/>
      <w:marRight w:val="0"/>
      <w:marTop w:val="0"/>
      <w:marBottom w:val="0"/>
      <w:divBdr>
        <w:top w:val="none" w:sz="0" w:space="0" w:color="auto"/>
        <w:left w:val="none" w:sz="0" w:space="0" w:color="auto"/>
        <w:bottom w:val="none" w:sz="0" w:space="0" w:color="auto"/>
        <w:right w:val="none" w:sz="0" w:space="0" w:color="auto"/>
      </w:divBdr>
    </w:div>
    <w:div w:id="970593151">
      <w:bodyDiv w:val="1"/>
      <w:marLeft w:val="0"/>
      <w:marRight w:val="0"/>
      <w:marTop w:val="0"/>
      <w:marBottom w:val="0"/>
      <w:divBdr>
        <w:top w:val="none" w:sz="0" w:space="0" w:color="auto"/>
        <w:left w:val="none" w:sz="0" w:space="0" w:color="auto"/>
        <w:bottom w:val="none" w:sz="0" w:space="0" w:color="auto"/>
        <w:right w:val="none" w:sz="0" w:space="0" w:color="auto"/>
      </w:divBdr>
    </w:div>
    <w:div w:id="1097405793">
      <w:bodyDiv w:val="1"/>
      <w:marLeft w:val="0"/>
      <w:marRight w:val="0"/>
      <w:marTop w:val="0"/>
      <w:marBottom w:val="0"/>
      <w:divBdr>
        <w:top w:val="none" w:sz="0" w:space="0" w:color="auto"/>
        <w:left w:val="none" w:sz="0" w:space="0" w:color="auto"/>
        <w:bottom w:val="none" w:sz="0" w:space="0" w:color="auto"/>
        <w:right w:val="none" w:sz="0" w:space="0" w:color="auto"/>
      </w:divBdr>
    </w:div>
    <w:div w:id="1118179333">
      <w:bodyDiv w:val="1"/>
      <w:marLeft w:val="0"/>
      <w:marRight w:val="0"/>
      <w:marTop w:val="0"/>
      <w:marBottom w:val="0"/>
      <w:divBdr>
        <w:top w:val="none" w:sz="0" w:space="0" w:color="auto"/>
        <w:left w:val="none" w:sz="0" w:space="0" w:color="auto"/>
        <w:bottom w:val="none" w:sz="0" w:space="0" w:color="auto"/>
        <w:right w:val="none" w:sz="0" w:space="0" w:color="auto"/>
      </w:divBdr>
    </w:div>
    <w:div w:id="1179388056">
      <w:bodyDiv w:val="1"/>
      <w:marLeft w:val="0"/>
      <w:marRight w:val="0"/>
      <w:marTop w:val="0"/>
      <w:marBottom w:val="0"/>
      <w:divBdr>
        <w:top w:val="none" w:sz="0" w:space="0" w:color="auto"/>
        <w:left w:val="none" w:sz="0" w:space="0" w:color="auto"/>
        <w:bottom w:val="none" w:sz="0" w:space="0" w:color="auto"/>
        <w:right w:val="none" w:sz="0" w:space="0" w:color="auto"/>
      </w:divBdr>
      <w:divsChild>
        <w:div w:id="1768770163">
          <w:marLeft w:val="0"/>
          <w:marRight w:val="0"/>
          <w:marTop w:val="0"/>
          <w:marBottom w:val="0"/>
          <w:divBdr>
            <w:top w:val="none" w:sz="0" w:space="0" w:color="auto"/>
            <w:left w:val="none" w:sz="0" w:space="0" w:color="auto"/>
            <w:bottom w:val="none" w:sz="0" w:space="0" w:color="auto"/>
            <w:right w:val="none" w:sz="0" w:space="0" w:color="auto"/>
          </w:divBdr>
          <w:divsChild>
            <w:div w:id="518010056">
              <w:marLeft w:val="0"/>
              <w:marRight w:val="0"/>
              <w:marTop w:val="0"/>
              <w:marBottom w:val="0"/>
              <w:divBdr>
                <w:top w:val="none" w:sz="0" w:space="0" w:color="auto"/>
                <w:left w:val="none" w:sz="0" w:space="0" w:color="auto"/>
                <w:bottom w:val="none" w:sz="0" w:space="0" w:color="auto"/>
                <w:right w:val="none" w:sz="0" w:space="0" w:color="auto"/>
              </w:divBdr>
              <w:divsChild>
                <w:div w:id="257182202">
                  <w:marLeft w:val="0"/>
                  <w:marRight w:val="0"/>
                  <w:marTop w:val="195"/>
                  <w:marBottom w:val="100"/>
                  <w:divBdr>
                    <w:top w:val="none" w:sz="0" w:space="0" w:color="auto"/>
                    <w:left w:val="none" w:sz="0" w:space="0" w:color="auto"/>
                    <w:bottom w:val="none" w:sz="0" w:space="0" w:color="auto"/>
                    <w:right w:val="none" w:sz="0" w:space="0" w:color="auto"/>
                  </w:divBdr>
                  <w:divsChild>
                    <w:div w:id="1850637791">
                      <w:marLeft w:val="0"/>
                      <w:marRight w:val="0"/>
                      <w:marTop w:val="0"/>
                      <w:marBottom w:val="0"/>
                      <w:divBdr>
                        <w:top w:val="none" w:sz="0" w:space="0" w:color="auto"/>
                        <w:left w:val="none" w:sz="0" w:space="0" w:color="auto"/>
                        <w:bottom w:val="none" w:sz="0" w:space="0" w:color="auto"/>
                        <w:right w:val="none" w:sz="0" w:space="0" w:color="auto"/>
                      </w:divBdr>
                      <w:divsChild>
                        <w:div w:id="62677422">
                          <w:marLeft w:val="1596"/>
                          <w:marRight w:val="8"/>
                          <w:marTop w:val="0"/>
                          <w:marBottom w:val="0"/>
                          <w:divBdr>
                            <w:top w:val="none" w:sz="0" w:space="0" w:color="auto"/>
                            <w:left w:val="none" w:sz="0" w:space="0" w:color="auto"/>
                            <w:bottom w:val="none" w:sz="0" w:space="0" w:color="auto"/>
                            <w:right w:val="none" w:sz="0" w:space="0" w:color="auto"/>
                          </w:divBdr>
                          <w:divsChild>
                            <w:div w:id="2063678361">
                              <w:marLeft w:val="0"/>
                              <w:marRight w:val="0"/>
                              <w:marTop w:val="0"/>
                              <w:marBottom w:val="0"/>
                              <w:divBdr>
                                <w:top w:val="none" w:sz="0" w:space="0" w:color="auto"/>
                                <w:left w:val="none" w:sz="0" w:space="0" w:color="auto"/>
                                <w:bottom w:val="none" w:sz="0" w:space="0" w:color="auto"/>
                                <w:right w:val="none" w:sz="0" w:space="0" w:color="auto"/>
                              </w:divBdr>
                              <w:divsChild>
                                <w:div w:id="1739666425">
                                  <w:marLeft w:val="0"/>
                                  <w:marRight w:val="0"/>
                                  <w:marTop w:val="0"/>
                                  <w:marBottom w:val="0"/>
                                  <w:divBdr>
                                    <w:top w:val="none" w:sz="0" w:space="0" w:color="auto"/>
                                    <w:left w:val="none" w:sz="0" w:space="0" w:color="auto"/>
                                    <w:bottom w:val="none" w:sz="0" w:space="0" w:color="auto"/>
                                    <w:right w:val="none" w:sz="0" w:space="0" w:color="auto"/>
                                  </w:divBdr>
                                  <w:divsChild>
                                    <w:div w:id="917012161">
                                      <w:marLeft w:val="0"/>
                                      <w:marRight w:val="0"/>
                                      <w:marTop w:val="0"/>
                                      <w:marBottom w:val="0"/>
                                      <w:divBdr>
                                        <w:top w:val="none" w:sz="0" w:space="0" w:color="auto"/>
                                        <w:left w:val="none" w:sz="0" w:space="0" w:color="auto"/>
                                        <w:bottom w:val="none" w:sz="0" w:space="0" w:color="auto"/>
                                        <w:right w:val="none" w:sz="0" w:space="0" w:color="auto"/>
                                      </w:divBdr>
                                      <w:divsChild>
                                        <w:div w:id="601690171">
                                          <w:marLeft w:val="0"/>
                                          <w:marRight w:val="0"/>
                                          <w:marTop w:val="0"/>
                                          <w:marBottom w:val="0"/>
                                          <w:divBdr>
                                            <w:top w:val="none" w:sz="0" w:space="0" w:color="auto"/>
                                            <w:left w:val="none" w:sz="0" w:space="0" w:color="auto"/>
                                            <w:bottom w:val="none" w:sz="0" w:space="0" w:color="auto"/>
                                            <w:right w:val="none" w:sz="0" w:space="0" w:color="auto"/>
                                          </w:divBdr>
                                          <w:divsChild>
                                            <w:div w:id="123581491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795136">
      <w:bodyDiv w:val="1"/>
      <w:marLeft w:val="0"/>
      <w:marRight w:val="0"/>
      <w:marTop w:val="0"/>
      <w:marBottom w:val="0"/>
      <w:divBdr>
        <w:top w:val="none" w:sz="0" w:space="0" w:color="auto"/>
        <w:left w:val="none" w:sz="0" w:space="0" w:color="auto"/>
        <w:bottom w:val="none" w:sz="0" w:space="0" w:color="auto"/>
        <w:right w:val="none" w:sz="0" w:space="0" w:color="auto"/>
      </w:divBdr>
    </w:div>
    <w:div w:id="1528643471">
      <w:bodyDiv w:val="1"/>
      <w:marLeft w:val="0"/>
      <w:marRight w:val="0"/>
      <w:marTop w:val="0"/>
      <w:marBottom w:val="0"/>
      <w:divBdr>
        <w:top w:val="none" w:sz="0" w:space="0" w:color="auto"/>
        <w:left w:val="none" w:sz="0" w:space="0" w:color="auto"/>
        <w:bottom w:val="none" w:sz="0" w:space="0" w:color="auto"/>
        <w:right w:val="none" w:sz="0" w:space="0" w:color="auto"/>
      </w:divBdr>
      <w:divsChild>
        <w:div w:id="821778787">
          <w:marLeft w:val="0"/>
          <w:marRight w:val="0"/>
          <w:marTop w:val="0"/>
          <w:marBottom w:val="0"/>
          <w:divBdr>
            <w:top w:val="none" w:sz="0" w:space="0" w:color="auto"/>
            <w:left w:val="none" w:sz="0" w:space="0" w:color="auto"/>
            <w:bottom w:val="none" w:sz="0" w:space="0" w:color="auto"/>
            <w:right w:val="none" w:sz="0" w:space="0" w:color="auto"/>
          </w:divBdr>
          <w:divsChild>
            <w:div w:id="355275532">
              <w:marLeft w:val="0"/>
              <w:marRight w:val="0"/>
              <w:marTop w:val="0"/>
              <w:marBottom w:val="0"/>
              <w:divBdr>
                <w:top w:val="none" w:sz="0" w:space="0" w:color="auto"/>
                <w:left w:val="none" w:sz="0" w:space="0" w:color="auto"/>
                <w:bottom w:val="none" w:sz="0" w:space="0" w:color="auto"/>
                <w:right w:val="none" w:sz="0" w:space="0" w:color="auto"/>
              </w:divBdr>
              <w:divsChild>
                <w:div w:id="787941010">
                  <w:marLeft w:val="0"/>
                  <w:marRight w:val="0"/>
                  <w:marTop w:val="195"/>
                  <w:marBottom w:val="100"/>
                  <w:divBdr>
                    <w:top w:val="none" w:sz="0" w:space="0" w:color="auto"/>
                    <w:left w:val="none" w:sz="0" w:space="0" w:color="auto"/>
                    <w:bottom w:val="none" w:sz="0" w:space="0" w:color="auto"/>
                    <w:right w:val="none" w:sz="0" w:space="0" w:color="auto"/>
                  </w:divBdr>
                  <w:divsChild>
                    <w:div w:id="1513297796">
                      <w:marLeft w:val="0"/>
                      <w:marRight w:val="0"/>
                      <w:marTop w:val="0"/>
                      <w:marBottom w:val="0"/>
                      <w:divBdr>
                        <w:top w:val="none" w:sz="0" w:space="0" w:color="auto"/>
                        <w:left w:val="none" w:sz="0" w:space="0" w:color="auto"/>
                        <w:bottom w:val="none" w:sz="0" w:space="0" w:color="auto"/>
                        <w:right w:val="none" w:sz="0" w:space="0" w:color="auto"/>
                      </w:divBdr>
                      <w:divsChild>
                        <w:div w:id="1150904470">
                          <w:marLeft w:val="1596"/>
                          <w:marRight w:val="8"/>
                          <w:marTop w:val="0"/>
                          <w:marBottom w:val="0"/>
                          <w:divBdr>
                            <w:top w:val="none" w:sz="0" w:space="0" w:color="auto"/>
                            <w:left w:val="none" w:sz="0" w:space="0" w:color="auto"/>
                            <w:bottom w:val="none" w:sz="0" w:space="0" w:color="auto"/>
                            <w:right w:val="none" w:sz="0" w:space="0" w:color="auto"/>
                          </w:divBdr>
                          <w:divsChild>
                            <w:div w:id="314646182">
                              <w:marLeft w:val="0"/>
                              <w:marRight w:val="0"/>
                              <w:marTop w:val="0"/>
                              <w:marBottom w:val="0"/>
                              <w:divBdr>
                                <w:top w:val="none" w:sz="0" w:space="0" w:color="auto"/>
                                <w:left w:val="none" w:sz="0" w:space="0" w:color="auto"/>
                                <w:bottom w:val="none" w:sz="0" w:space="0" w:color="auto"/>
                                <w:right w:val="none" w:sz="0" w:space="0" w:color="auto"/>
                              </w:divBdr>
                              <w:divsChild>
                                <w:div w:id="1358771197">
                                  <w:marLeft w:val="0"/>
                                  <w:marRight w:val="0"/>
                                  <w:marTop w:val="0"/>
                                  <w:marBottom w:val="0"/>
                                  <w:divBdr>
                                    <w:top w:val="none" w:sz="0" w:space="0" w:color="auto"/>
                                    <w:left w:val="none" w:sz="0" w:space="0" w:color="auto"/>
                                    <w:bottom w:val="none" w:sz="0" w:space="0" w:color="auto"/>
                                    <w:right w:val="none" w:sz="0" w:space="0" w:color="auto"/>
                                  </w:divBdr>
                                  <w:divsChild>
                                    <w:div w:id="1827934134">
                                      <w:marLeft w:val="0"/>
                                      <w:marRight w:val="0"/>
                                      <w:marTop w:val="0"/>
                                      <w:marBottom w:val="0"/>
                                      <w:divBdr>
                                        <w:top w:val="none" w:sz="0" w:space="0" w:color="auto"/>
                                        <w:left w:val="none" w:sz="0" w:space="0" w:color="auto"/>
                                        <w:bottom w:val="none" w:sz="0" w:space="0" w:color="auto"/>
                                        <w:right w:val="none" w:sz="0" w:space="0" w:color="auto"/>
                                      </w:divBdr>
                                      <w:divsChild>
                                        <w:div w:id="749623382">
                                          <w:marLeft w:val="0"/>
                                          <w:marRight w:val="0"/>
                                          <w:marTop w:val="0"/>
                                          <w:marBottom w:val="0"/>
                                          <w:divBdr>
                                            <w:top w:val="none" w:sz="0" w:space="0" w:color="auto"/>
                                            <w:left w:val="none" w:sz="0" w:space="0" w:color="auto"/>
                                            <w:bottom w:val="none" w:sz="0" w:space="0" w:color="auto"/>
                                            <w:right w:val="none" w:sz="0" w:space="0" w:color="auto"/>
                                          </w:divBdr>
                                          <w:divsChild>
                                            <w:div w:id="999969996">
                                              <w:marLeft w:val="0"/>
                                              <w:marRight w:val="0"/>
                                              <w:marTop w:val="0"/>
                                              <w:marBottom w:val="93"/>
                                              <w:divBdr>
                                                <w:top w:val="none" w:sz="0" w:space="0" w:color="auto"/>
                                                <w:left w:val="none" w:sz="0" w:space="0" w:color="auto"/>
                                                <w:bottom w:val="none" w:sz="0" w:space="0" w:color="auto"/>
                                                <w:right w:val="none" w:sz="0" w:space="0" w:color="auto"/>
                                              </w:divBdr>
                                              <w:divsChild>
                                                <w:div w:id="1130245185">
                                                  <w:marLeft w:val="0"/>
                                                  <w:marRight w:val="0"/>
                                                  <w:marTop w:val="0"/>
                                                  <w:marBottom w:val="0"/>
                                                  <w:divBdr>
                                                    <w:top w:val="none" w:sz="0" w:space="0" w:color="auto"/>
                                                    <w:left w:val="none" w:sz="0" w:space="0" w:color="auto"/>
                                                    <w:bottom w:val="none" w:sz="0" w:space="0" w:color="auto"/>
                                                    <w:right w:val="none" w:sz="0" w:space="0" w:color="auto"/>
                                                  </w:divBdr>
                                                  <w:divsChild>
                                                    <w:div w:id="15963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98861">
      <w:bodyDiv w:val="1"/>
      <w:marLeft w:val="0"/>
      <w:marRight w:val="0"/>
      <w:marTop w:val="0"/>
      <w:marBottom w:val="0"/>
      <w:divBdr>
        <w:top w:val="none" w:sz="0" w:space="0" w:color="auto"/>
        <w:left w:val="none" w:sz="0" w:space="0" w:color="auto"/>
        <w:bottom w:val="none" w:sz="0" w:space="0" w:color="auto"/>
        <w:right w:val="none" w:sz="0" w:space="0" w:color="auto"/>
      </w:divBdr>
      <w:divsChild>
        <w:div w:id="1260135772">
          <w:marLeft w:val="0"/>
          <w:marRight w:val="0"/>
          <w:marTop w:val="0"/>
          <w:marBottom w:val="0"/>
          <w:divBdr>
            <w:top w:val="none" w:sz="0" w:space="0" w:color="auto"/>
            <w:left w:val="none" w:sz="0" w:space="0" w:color="auto"/>
            <w:bottom w:val="none" w:sz="0" w:space="0" w:color="auto"/>
            <w:right w:val="none" w:sz="0" w:space="0" w:color="auto"/>
          </w:divBdr>
          <w:divsChild>
            <w:div w:id="166790600">
              <w:marLeft w:val="0"/>
              <w:marRight w:val="0"/>
              <w:marTop w:val="0"/>
              <w:marBottom w:val="0"/>
              <w:divBdr>
                <w:top w:val="none" w:sz="0" w:space="0" w:color="auto"/>
                <w:left w:val="none" w:sz="0" w:space="0" w:color="auto"/>
                <w:bottom w:val="none" w:sz="0" w:space="0" w:color="auto"/>
                <w:right w:val="none" w:sz="0" w:space="0" w:color="auto"/>
              </w:divBdr>
              <w:divsChild>
                <w:div w:id="2062820298">
                  <w:marLeft w:val="0"/>
                  <w:marRight w:val="0"/>
                  <w:marTop w:val="195"/>
                  <w:marBottom w:val="100"/>
                  <w:divBdr>
                    <w:top w:val="none" w:sz="0" w:space="0" w:color="auto"/>
                    <w:left w:val="none" w:sz="0" w:space="0" w:color="auto"/>
                    <w:bottom w:val="none" w:sz="0" w:space="0" w:color="auto"/>
                    <w:right w:val="none" w:sz="0" w:space="0" w:color="auto"/>
                  </w:divBdr>
                  <w:divsChild>
                    <w:div w:id="2017462419">
                      <w:marLeft w:val="0"/>
                      <w:marRight w:val="0"/>
                      <w:marTop w:val="0"/>
                      <w:marBottom w:val="0"/>
                      <w:divBdr>
                        <w:top w:val="none" w:sz="0" w:space="0" w:color="auto"/>
                        <w:left w:val="none" w:sz="0" w:space="0" w:color="auto"/>
                        <w:bottom w:val="none" w:sz="0" w:space="0" w:color="auto"/>
                        <w:right w:val="none" w:sz="0" w:space="0" w:color="auto"/>
                      </w:divBdr>
                      <w:divsChild>
                        <w:div w:id="1429034006">
                          <w:marLeft w:val="1596"/>
                          <w:marRight w:val="8"/>
                          <w:marTop w:val="0"/>
                          <w:marBottom w:val="0"/>
                          <w:divBdr>
                            <w:top w:val="none" w:sz="0" w:space="0" w:color="auto"/>
                            <w:left w:val="none" w:sz="0" w:space="0" w:color="auto"/>
                            <w:bottom w:val="none" w:sz="0" w:space="0" w:color="auto"/>
                            <w:right w:val="none" w:sz="0" w:space="0" w:color="auto"/>
                          </w:divBdr>
                          <w:divsChild>
                            <w:div w:id="2044821035">
                              <w:marLeft w:val="0"/>
                              <w:marRight w:val="0"/>
                              <w:marTop w:val="0"/>
                              <w:marBottom w:val="0"/>
                              <w:divBdr>
                                <w:top w:val="none" w:sz="0" w:space="0" w:color="auto"/>
                                <w:left w:val="none" w:sz="0" w:space="0" w:color="auto"/>
                                <w:bottom w:val="none" w:sz="0" w:space="0" w:color="auto"/>
                                <w:right w:val="none" w:sz="0" w:space="0" w:color="auto"/>
                              </w:divBdr>
                              <w:divsChild>
                                <w:div w:id="862746075">
                                  <w:marLeft w:val="0"/>
                                  <w:marRight w:val="0"/>
                                  <w:marTop w:val="0"/>
                                  <w:marBottom w:val="0"/>
                                  <w:divBdr>
                                    <w:top w:val="none" w:sz="0" w:space="0" w:color="auto"/>
                                    <w:left w:val="none" w:sz="0" w:space="0" w:color="auto"/>
                                    <w:bottom w:val="none" w:sz="0" w:space="0" w:color="auto"/>
                                    <w:right w:val="none" w:sz="0" w:space="0" w:color="auto"/>
                                  </w:divBdr>
                                  <w:divsChild>
                                    <w:div w:id="2129666282">
                                      <w:marLeft w:val="0"/>
                                      <w:marRight w:val="0"/>
                                      <w:marTop w:val="0"/>
                                      <w:marBottom w:val="0"/>
                                      <w:divBdr>
                                        <w:top w:val="none" w:sz="0" w:space="0" w:color="auto"/>
                                        <w:left w:val="none" w:sz="0" w:space="0" w:color="auto"/>
                                        <w:bottom w:val="none" w:sz="0" w:space="0" w:color="auto"/>
                                        <w:right w:val="none" w:sz="0" w:space="0" w:color="auto"/>
                                      </w:divBdr>
                                      <w:divsChild>
                                        <w:div w:id="1302685663">
                                          <w:marLeft w:val="0"/>
                                          <w:marRight w:val="0"/>
                                          <w:marTop w:val="0"/>
                                          <w:marBottom w:val="0"/>
                                          <w:divBdr>
                                            <w:top w:val="none" w:sz="0" w:space="0" w:color="auto"/>
                                            <w:left w:val="none" w:sz="0" w:space="0" w:color="auto"/>
                                            <w:bottom w:val="none" w:sz="0" w:space="0" w:color="auto"/>
                                            <w:right w:val="none" w:sz="0" w:space="0" w:color="auto"/>
                                          </w:divBdr>
                                          <w:divsChild>
                                            <w:div w:id="2118476982">
                                              <w:marLeft w:val="0"/>
                                              <w:marRight w:val="0"/>
                                              <w:marTop w:val="0"/>
                                              <w:marBottom w:val="93"/>
                                              <w:divBdr>
                                                <w:top w:val="none" w:sz="0" w:space="0" w:color="auto"/>
                                                <w:left w:val="none" w:sz="0" w:space="0" w:color="auto"/>
                                                <w:bottom w:val="none" w:sz="0" w:space="0" w:color="auto"/>
                                                <w:right w:val="none" w:sz="0" w:space="0" w:color="auto"/>
                                              </w:divBdr>
                                              <w:divsChild>
                                                <w:div w:id="13620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767933">
      <w:bodyDiv w:val="1"/>
      <w:marLeft w:val="0"/>
      <w:marRight w:val="0"/>
      <w:marTop w:val="0"/>
      <w:marBottom w:val="0"/>
      <w:divBdr>
        <w:top w:val="none" w:sz="0" w:space="0" w:color="auto"/>
        <w:left w:val="none" w:sz="0" w:space="0" w:color="auto"/>
        <w:bottom w:val="none" w:sz="0" w:space="0" w:color="auto"/>
        <w:right w:val="none" w:sz="0" w:space="0" w:color="auto"/>
      </w:divBdr>
    </w:div>
    <w:div w:id="1754929117">
      <w:bodyDiv w:val="1"/>
      <w:marLeft w:val="0"/>
      <w:marRight w:val="0"/>
      <w:marTop w:val="0"/>
      <w:marBottom w:val="0"/>
      <w:divBdr>
        <w:top w:val="none" w:sz="0" w:space="0" w:color="auto"/>
        <w:left w:val="none" w:sz="0" w:space="0" w:color="auto"/>
        <w:bottom w:val="none" w:sz="0" w:space="0" w:color="auto"/>
        <w:right w:val="none" w:sz="0" w:space="0" w:color="auto"/>
      </w:divBdr>
    </w:div>
    <w:div w:id="21292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heiia.org/standards-guidance/Public%20Documents/PP%20The%20Three%20Lines%20of%20Defense%20in%20Effective%20Risk%20Management%20and%20Contro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so.org/Publications/ERM/COSO_ERM_ExecutiveSummar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heiia.org/standards-guidance/Public%20Documents/PP%20The%20Role%20of%20Internal%20Auditing%20in%20Enterprise%20Risk%20Managem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iia.org/guidance/standards-and-guidance/ippf/standards/" TargetMode="External"/><Relationship Id="rId4" Type="http://schemas.openxmlformats.org/officeDocument/2006/relationships/settings" Target="settings.xml"/><Relationship Id="rId9" Type="http://schemas.openxmlformats.org/officeDocument/2006/relationships/hyperlink" Target="https://na.theiia.org/standards-guidance/mandatory-guidance/Pages/Code-of-Ethic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6A56-625A-4753-873B-EC193334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College of Business - UT Austin</Company>
  <LinksUpToDate>false</LinksUpToDate>
  <CharactersWithSpaces>8618</CharactersWithSpaces>
  <SharedDoc>false</SharedDoc>
  <HLinks>
    <vt:vector size="294" baseType="variant">
      <vt:variant>
        <vt:i4>7667837</vt:i4>
      </vt:variant>
      <vt:variant>
        <vt:i4>144</vt:i4>
      </vt:variant>
      <vt:variant>
        <vt:i4>0</vt:i4>
      </vt:variant>
      <vt:variant>
        <vt:i4>5</vt:i4>
      </vt:variant>
      <vt:variant>
        <vt:lpwstr>http://www.theiia.org/guidance/standards-and-guidance/ippf/practice-advisories/full-list/list-items/?i=8345</vt:lpwstr>
      </vt:variant>
      <vt:variant>
        <vt:lpwstr/>
      </vt:variant>
      <vt:variant>
        <vt:i4>7667837</vt:i4>
      </vt:variant>
      <vt:variant>
        <vt:i4>141</vt:i4>
      </vt:variant>
      <vt:variant>
        <vt:i4>0</vt:i4>
      </vt:variant>
      <vt:variant>
        <vt:i4>5</vt:i4>
      </vt:variant>
      <vt:variant>
        <vt:lpwstr>http://www.theiia.org/guidance/standards-and-guidance/ippf/practice-advisories/full-list/list-items/?i=8345</vt:lpwstr>
      </vt:variant>
      <vt:variant>
        <vt:lpwstr/>
      </vt:variant>
      <vt:variant>
        <vt:i4>7602301</vt:i4>
      </vt:variant>
      <vt:variant>
        <vt:i4>138</vt:i4>
      </vt:variant>
      <vt:variant>
        <vt:i4>0</vt:i4>
      </vt:variant>
      <vt:variant>
        <vt:i4>5</vt:i4>
      </vt:variant>
      <vt:variant>
        <vt:lpwstr>http://www.theiia.org/guidance/standards-and-guidance/ippf/practice-advisories/full-list/list-items/?i=8353</vt:lpwstr>
      </vt:variant>
      <vt:variant>
        <vt:lpwstr/>
      </vt:variant>
      <vt:variant>
        <vt:i4>7602301</vt:i4>
      </vt:variant>
      <vt:variant>
        <vt:i4>135</vt:i4>
      </vt:variant>
      <vt:variant>
        <vt:i4>0</vt:i4>
      </vt:variant>
      <vt:variant>
        <vt:i4>5</vt:i4>
      </vt:variant>
      <vt:variant>
        <vt:lpwstr>http://www.theiia.org/guidance/standards-and-guidance/ippf/practice-advisories/full-list/list-items/?i=8353</vt:lpwstr>
      </vt:variant>
      <vt:variant>
        <vt:lpwstr/>
      </vt:variant>
      <vt:variant>
        <vt:i4>7602301</vt:i4>
      </vt:variant>
      <vt:variant>
        <vt:i4>132</vt:i4>
      </vt:variant>
      <vt:variant>
        <vt:i4>0</vt:i4>
      </vt:variant>
      <vt:variant>
        <vt:i4>5</vt:i4>
      </vt:variant>
      <vt:variant>
        <vt:lpwstr>http://www.theiia.org/guidance/standards-and-guidance/ippf/practice-advisories/full-list/list-items/?i=8355</vt:lpwstr>
      </vt:variant>
      <vt:variant>
        <vt:lpwstr/>
      </vt:variant>
      <vt:variant>
        <vt:i4>7602301</vt:i4>
      </vt:variant>
      <vt:variant>
        <vt:i4>129</vt:i4>
      </vt:variant>
      <vt:variant>
        <vt:i4>0</vt:i4>
      </vt:variant>
      <vt:variant>
        <vt:i4>5</vt:i4>
      </vt:variant>
      <vt:variant>
        <vt:lpwstr>http://www.theiia.org/guidance/standards-and-guidance/ippf/practice-advisories/full-list/list-items/?i=8355</vt:lpwstr>
      </vt:variant>
      <vt:variant>
        <vt:lpwstr/>
      </vt:variant>
      <vt:variant>
        <vt:i4>7667837</vt:i4>
      </vt:variant>
      <vt:variant>
        <vt:i4>126</vt:i4>
      </vt:variant>
      <vt:variant>
        <vt:i4>0</vt:i4>
      </vt:variant>
      <vt:variant>
        <vt:i4>5</vt:i4>
      </vt:variant>
      <vt:variant>
        <vt:lpwstr>http://www.theiia.org/guidance/standards-and-guidance/ippf/practice-advisories/full-list/list-items/?i=8340</vt:lpwstr>
      </vt:variant>
      <vt:variant>
        <vt:lpwstr/>
      </vt:variant>
      <vt:variant>
        <vt:i4>7667837</vt:i4>
      </vt:variant>
      <vt:variant>
        <vt:i4>123</vt:i4>
      </vt:variant>
      <vt:variant>
        <vt:i4>0</vt:i4>
      </vt:variant>
      <vt:variant>
        <vt:i4>5</vt:i4>
      </vt:variant>
      <vt:variant>
        <vt:lpwstr>http://www.theiia.org/guidance/standards-and-guidance/ippf/practice-advisories/full-list/list-items/?i=8340</vt:lpwstr>
      </vt:variant>
      <vt:variant>
        <vt:lpwstr/>
      </vt:variant>
      <vt:variant>
        <vt:i4>7798909</vt:i4>
      </vt:variant>
      <vt:variant>
        <vt:i4>120</vt:i4>
      </vt:variant>
      <vt:variant>
        <vt:i4>0</vt:i4>
      </vt:variant>
      <vt:variant>
        <vt:i4>5</vt:i4>
      </vt:variant>
      <vt:variant>
        <vt:lpwstr>http://www.theiia.org/guidance/standards-and-guidance/ippf/practice-advisories/full-list/list-items/?i=8360</vt:lpwstr>
      </vt:variant>
      <vt:variant>
        <vt:lpwstr/>
      </vt:variant>
      <vt:variant>
        <vt:i4>7798909</vt:i4>
      </vt:variant>
      <vt:variant>
        <vt:i4>117</vt:i4>
      </vt:variant>
      <vt:variant>
        <vt:i4>0</vt:i4>
      </vt:variant>
      <vt:variant>
        <vt:i4>5</vt:i4>
      </vt:variant>
      <vt:variant>
        <vt:lpwstr>http://www.theiia.org/guidance/standards-and-guidance/ippf/practice-advisories/full-list/list-items/?i=8360</vt:lpwstr>
      </vt:variant>
      <vt:variant>
        <vt:lpwstr/>
      </vt:variant>
      <vt:variant>
        <vt:i4>7733373</vt:i4>
      </vt:variant>
      <vt:variant>
        <vt:i4>114</vt:i4>
      </vt:variant>
      <vt:variant>
        <vt:i4>0</vt:i4>
      </vt:variant>
      <vt:variant>
        <vt:i4>5</vt:i4>
      </vt:variant>
      <vt:variant>
        <vt:lpwstr>http://www.theiia.org/guidance/standards-and-guidance/ippf/practice-advisories/full-list/list-items/?i=8374</vt:lpwstr>
      </vt:variant>
      <vt:variant>
        <vt:lpwstr/>
      </vt:variant>
      <vt:variant>
        <vt:i4>7733373</vt:i4>
      </vt:variant>
      <vt:variant>
        <vt:i4>111</vt:i4>
      </vt:variant>
      <vt:variant>
        <vt:i4>0</vt:i4>
      </vt:variant>
      <vt:variant>
        <vt:i4>5</vt:i4>
      </vt:variant>
      <vt:variant>
        <vt:lpwstr>http://www.theiia.org/guidance/standards-and-guidance/ippf/practice-advisories/full-list/list-items/?i=8374</vt:lpwstr>
      </vt:variant>
      <vt:variant>
        <vt:lpwstr/>
      </vt:variant>
      <vt:variant>
        <vt:i4>7733373</vt:i4>
      </vt:variant>
      <vt:variant>
        <vt:i4>108</vt:i4>
      </vt:variant>
      <vt:variant>
        <vt:i4>0</vt:i4>
      </vt:variant>
      <vt:variant>
        <vt:i4>5</vt:i4>
      </vt:variant>
      <vt:variant>
        <vt:lpwstr>http://www.theiia.org/guidance/standards-and-guidance/ippf/practice-advisories/full-list/list-items/?i=8373</vt:lpwstr>
      </vt:variant>
      <vt:variant>
        <vt:lpwstr/>
      </vt:variant>
      <vt:variant>
        <vt:i4>7733373</vt:i4>
      </vt:variant>
      <vt:variant>
        <vt:i4>105</vt:i4>
      </vt:variant>
      <vt:variant>
        <vt:i4>0</vt:i4>
      </vt:variant>
      <vt:variant>
        <vt:i4>5</vt:i4>
      </vt:variant>
      <vt:variant>
        <vt:lpwstr>http://www.theiia.org/guidance/standards-and-guidance/ippf/practice-advisories/full-list/list-items/?i=8373</vt:lpwstr>
      </vt:variant>
      <vt:variant>
        <vt:lpwstr/>
      </vt:variant>
      <vt:variant>
        <vt:i4>7733373</vt:i4>
      </vt:variant>
      <vt:variant>
        <vt:i4>102</vt:i4>
      </vt:variant>
      <vt:variant>
        <vt:i4>0</vt:i4>
      </vt:variant>
      <vt:variant>
        <vt:i4>5</vt:i4>
      </vt:variant>
      <vt:variant>
        <vt:lpwstr>http://www.theiia.org/guidance/standards-and-guidance/ippf/practice-advisories/full-list/list-items/?i=8370</vt:lpwstr>
      </vt:variant>
      <vt:variant>
        <vt:lpwstr/>
      </vt:variant>
      <vt:variant>
        <vt:i4>589916</vt:i4>
      </vt:variant>
      <vt:variant>
        <vt:i4>99</vt:i4>
      </vt:variant>
      <vt:variant>
        <vt:i4>0</vt:i4>
      </vt:variant>
      <vt:variant>
        <vt:i4>5</vt:i4>
      </vt:variant>
      <vt:variant>
        <vt:lpwstr>http://www.theiia.org/guidance/standards-and-guidance/ippf/practice-advisories/full-list/index.cfm?i=8370</vt:lpwstr>
      </vt:variant>
      <vt:variant>
        <vt:lpwstr/>
      </vt:variant>
      <vt:variant>
        <vt:i4>7602301</vt:i4>
      </vt:variant>
      <vt:variant>
        <vt:i4>96</vt:i4>
      </vt:variant>
      <vt:variant>
        <vt:i4>0</vt:i4>
      </vt:variant>
      <vt:variant>
        <vt:i4>5</vt:i4>
      </vt:variant>
      <vt:variant>
        <vt:lpwstr>http://www.theiia.org/guidance/standards-and-guidance/ippf/practice-advisories/full-list/list-items/?i=8359</vt:lpwstr>
      </vt:variant>
      <vt:variant>
        <vt:lpwstr/>
      </vt:variant>
      <vt:variant>
        <vt:i4>7602301</vt:i4>
      </vt:variant>
      <vt:variant>
        <vt:i4>93</vt:i4>
      </vt:variant>
      <vt:variant>
        <vt:i4>0</vt:i4>
      </vt:variant>
      <vt:variant>
        <vt:i4>5</vt:i4>
      </vt:variant>
      <vt:variant>
        <vt:lpwstr>http://www.theiia.org/guidance/standards-and-guidance/ippf/practice-advisories/full-list/list-items/?i=8359</vt:lpwstr>
      </vt:variant>
      <vt:variant>
        <vt:lpwstr/>
      </vt:variant>
      <vt:variant>
        <vt:i4>7602301</vt:i4>
      </vt:variant>
      <vt:variant>
        <vt:i4>90</vt:i4>
      </vt:variant>
      <vt:variant>
        <vt:i4>0</vt:i4>
      </vt:variant>
      <vt:variant>
        <vt:i4>5</vt:i4>
      </vt:variant>
      <vt:variant>
        <vt:lpwstr>http://www.theiia.org/guidance/standards-and-guidance/ippf/practice-advisories/full-list/list-items/?i=8356</vt:lpwstr>
      </vt:variant>
      <vt:variant>
        <vt:lpwstr/>
      </vt:variant>
      <vt:variant>
        <vt:i4>7602301</vt:i4>
      </vt:variant>
      <vt:variant>
        <vt:i4>87</vt:i4>
      </vt:variant>
      <vt:variant>
        <vt:i4>0</vt:i4>
      </vt:variant>
      <vt:variant>
        <vt:i4>5</vt:i4>
      </vt:variant>
      <vt:variant>
        <vt:lpwstr>http://www.theiia.org/guidance/standards-and-guidance/ippf/practice-advisories/full-list/list-items/?i=8356</vt:lpwstr>
      </vt:variant>
      <vt:variant>
        <vt:lpwstr/>
      </vt:variant>
      <vt:variant>
        <vt:i4>7798909</vt:i4>
      </vt:variant>
      <vt:variant>
        <vt:i4>84</vt:i4>
      </vt:variant>
      <vt:variant>
        <vt:i4>0</vt:i4>
      </vt:variant>
      <vt:variant>
        <vt:i4>5</vt:i4>
      </vt:variant>
      <vt:variant>
        <vt:lpwstr>http://www.theiia.org/guidance/standards-and-guidance/ippf/practice-advisories/full-list/list-items/?i=8366</vt:lpwstr>
      </vt:variant>
      <vt:variant>
        <vt:lpwstr/>
      </vt:variant>
      <vt:variant>
        <vt:i4>7798909</vt:i4>
      </vt:variant>
      <vt:variant>
        <vt:i4>81</vt:i4>
      </vt:variant>
      <vt:variant>
        <vt:i4>0</vt:i4>
      </vt:variant>
      <vt:variant>
        <vt:i4>5</vt:i4>
      </vt:variant>
      <vt:variant>
        <vt:lpwstr>http://www.theiia.org/guidance/standards-and-guidance/ippf/practice-advisories/full-list/list-items/?i=8366</vt:lpwstr>
      </vt:variant>
      <vt:variant>
        <vt:lpwstr/>
      </vt:variant>
      <vt:variant>
        <vt:i4>7798909</vt:i4>
      </vt:variant>
      <vt:variant>
        <vt:i4>78</vt:i4>
      </vt:variant>
      <vt:variant>
        <vt:i4>0</vt:i4>
      </vt:variant>
      <vt:variant>
        <vt:i4>5</vt:i4>
      </vt:variant>
      <vt:variant>
        <vt:lpwstr>http://www.theiia.org/guidance/standards-and-guidance/ippf/practice-advisories/full-list/list-items/?i=8363</vt:lpwstr>
      </vt:variant>
      <vt:variant>
        <vt:lpwstr/>
      </vt:variant>
      <vt:variant>
        <vt:i4>7798909</vt:i4>
      </vt:variant>
      <vt:variant>
        <vt:i4>75</vt:i4>
      </vt:variant>
      <vt:variant>
        <vt:i4>0</vt:i4>
      </vt:variant>
      <vt:variant>
        <vt:i4>5</vt:i4>
      </vt:variant>
      <vt:variant>
        <vt:lpwstr>http://www.theiia.org/guidance/standards-and-guidance/ippf/practice-advisories/full-list/list-items/?i=8363</vt:lpwstr>
      </vt:variant>
      <vt:variant>
        <vt:lpwstr/>
      </vt:variant>
      <vt:variant>
        <vt:i4>7798909</vt:i4>
      </vt:variant>
      <vt:variant>
        <vt:i4>72</vt:i4>
      </vt:variant>
      <vt:variant>
        <vt:i4>0</vt:i4>
      </vt:variant>
      <vt:variant>
        <vt:i4>5</vt:i4>
      </vt:variant>
      <vt:variant>
        <vt:lpwstr>http://www.theiia.org/guidance/standards-and-guidance/ippf/practice-advisories/full-list/list-items/?i=8361</vt:lpwstr>
      </vt:variant>
      <vt:variant>
        <vt:lpwstr/>
      </vt:variant>
      <vt:variant>
        <vt:i4>7798909</vt:i4>
      </vt:variant>
      <vt:variant>
        <vt:i4>69</vt:i4>
      </vt:variant>
      <vt:variant>
        <vt:i4>0</vt:i4>
      </vt:variant>
      <vt:variant>
        <vt:i4>5</vt:i4>
      </vt:variant>
      <vt:variant>
        <vt:lpwstr>http://www.theiia.org/guidance/standards-and-guidance/ippf/practice-advisories/full-list/list-items/?i=8361</vt:lpwstr>
      </vt:variant>
      <vt:variant>
        <vt:lpwstr/>
      </vt:variant>
      <vt:variant>
        <vt:i4>3145842</vt:i4>
      </vt:variant>
      <vt:variant>
        <vt:i4>66</vt:i4>
      </vt:variant>
      <vt:variant>
        <vt:i4>0</vt:i4>
      </vt:variant>
      <vt:variant>
        <vt:i4>5</vt:i4>
      </vt:variant>
      <vt:variant>
        <vt:lpwstr>http://www.coso.org/IC-IntegratedFramework-summary.htm</vt:lpwstr>
      </vt:variant>
      <vt:variant>
        <vt:lpwstr/>
      </vt:variant>
      <vt:variant>
        <vt:i4>7602301</vt:i4>
      </vt:variant>
      <vt:variant>
        <vt:i4>63</vt:i4>
      </vt:variant>
      <vt:variant>
        <vt:i4>0</vt:i4>
      </vt:variant>
      <vt:variant>
        <vt:i4>5</vt:i4>
      </vt:variant>
      <vt:variant>
        <vt:lpwstr>http://www.theiia.org/guidance/standards-and-guidance/ippf/practice-advisories/full-list/list-items/?i=8351</vt:lpwstr>
      </vt:variant>
      <vt:variant>
        <vt:lpwstr/>
      </vt:variant>
      <vt:variant>
        <vt:i4>7602301</vt:i4>
      </vt:variant>
      <vt:variant>
        <vt:i4>60</vt:i4>
      </vt:variant>
      <vt:variant>
        <vt:i4>0</vt:i4>
      </vt:variant>
      <vt:variant>
        <vt:i4>5</vt:i4>
      </vt:variant>
      <vt:variant>
        <vt:lpwstr>http://www.theiia.org/guidance/standards-and-guidance/ippf/practice-advisories/full-list/list-items/?i=8351</vt:lpwstr>
      </vt:variant>
      <vt:variant>
        <vt:lpwstr/>
      </vt:variant>
      <vt:variant>
        <vt:i4>4456462</vt:i4>
      </vt:variant>
      <vt:variant>
        <vt:i4>57</vt:i4>
      </vt:variant>
      <vt:variant>
        <vt:i4>0</vt:i4>
      </vt:variant>
      <vt:variant>
        <vt:i4>5</vt:i4>
      </vt:variant>
      <vt:variant>
        <vt:lpwstr>http://www.auditnet.org/Guides/flowcharting guide.pdf</vt:lpwstr>
      </vt:variant>
      <vt:variant>
        <vt:lpwstr/>
      </vt:variant>
      <vt:variant>
        <vt:i4>4128821</vt:i4>
      </vt:variant>
      <vt:variant>
        <vt:i4>54</vt:i4>
      </vt:variant>
      <vt:variant>
        <vt:i4>0</vt:i4>
      </vt:variant>
      <vt:variant>
        <vt:i4>5</vt:i4>
      </vt:variant>
      <vt:variant>
        <vt:lpwstr>http://www.theiia.org/guidance/standards-and-guidance/ippf/position-papers/</vt:lpwstr>
      </vt:variant>
      <vt:variant>
        <vt:lpwstr/>
      </vt:variant>
      <vt:variant>
        <vt:i4>7602301</vt:i4>
      </vt:variant>
      <vt:variant>
        <vt:i4>51</vt:i4>
      </vt:variant>
      <vt:variant>
        <vt:i4>0</vt:i4>
      </vt:variant>
      <vt:variant>
        <vt:i4>5</vt:i4>
      </vt:variant>
      <vt:variant>
        <vt:lpwstr>http://www.theiia.org/guidance/standards-and-guidance/ippf/practice-advisories/full-list/list-items/?i=8357</vt:lpwstr>
      </vt:variant>
      <vt:variant>
        <vt:lpwstr/>
      </vt:variant>
      <vt:variant>
        <vt:i4>7602301</vt:i4>
      </vt:variant>
      <vt:variant>
        <vt:i4>48</vt:i4>
      </vt:variant>
      <vt:variant>
        <vt:i4>0</vt:i4>
      </vt:variant>
      <vt:variant>
        <vt:i4>5</vt:i4>
      </vt:variant>
      <vt:variant>
        <vt:lpwstr>http://www.theiia.org/guidance/standards-and-guidance/ippf/practice-advisories/full-list/list-items/?i=8357</vt:lpwstr>
      </vt:variant>
      <vt:variant>
        <vt:lpwstr/>
      </vt:variant>
      <vt:variant>
        <vt:i4>3735654</vt:i4>
      </vt:variant>
      <vt:variant>
        <vt:i4>45</vt:i4>
      </vt:variant>
      <vt:variant>
        <vt:i4>0</vt:i4>
      </vt:variant>
      <vt:variant>
        <vt:i4>5</vt:i4>
      </vt:variant>
      <vt:variant>
        <vt:lpwstr>http://www.coso.org/Publications/ERM/COSO_ERM_ExecutiveSummary.pdf</vt:lpwstr>
      </vt:variant>
      <vt:variant>
        <vt:lpwstr/>
      </vt:variant>
      <vt:variant>
        <vt:i4>7471229</vt:i4>
      </vt:variant>
      <vt:variant>
        <vt:i4>42</vt:i4>
      </vt:variant>
      <vt:variant>
        <vt:i4>0</vt:i4>
      </vt:variant>
      <vt:variant>
        <vt:i4>5</vt:i4>
      </vt:variant>
      <vt:variant>
        <vt:lpwstr>http://www.theiia.org/guidance/standards-and-guidance/ippf/practice-advisories/full-list/list-items/?i=8339</vt:lpwstr>
      </vt:variant>
      <vt:variant>
        <vt:lpwstr/>
      </vt:variant>
      <vt:variant>
        <vt:i4>7471229</vt:i4>
      </vt:variant>
      <vt:variant>
        <vt:i4>39</vt:i4>
      </vt:variant>
      <vt:variant>
        <vt:i4>0</vt:i4>
      </vt:variant>
      <vt:variant>
        <vt:i4>5</vt:i4>
      </vt:variant>
      <vt:variant>
        <vt:lpwstr>http://www.theiia.org/guidance/standards-and-guidance/ippf/practice-advisories/full-list/list-items/?i=8339</vt:lpwstr>
      </vt:variant>
      <vt:variant>
        <vt:lpwstr/>
      </vt:variant>
      <vt:variant>
        <vt:i4>7471229</vt:i4>
      </vt:variant>
      <vt:variant>
        <vt:i4>36</vt:i4>
      </vt:variant>
      <vt:variant>
        <vt:i4>0</vt:i4>
      </vt:variant>
      <vt:variant>
        <vt:i4>5</vt:i4>
      </vt:variant>
      <vt:variant>
        <vt:lpwstr>http://www.theiia.org/guidance/standards-and-guidance/ippf/practice-advisories/full-list/list-items/?i=8336</vt:lpwstr>
      </vt:variant>
      <vt:variant>
        <vt:lpwstr/>
      </vt:variant>
      <vt:variant>
        <vt:i4>7471229</vt:i4>
      </vt:variant>
      <vt:variant>
        <vt:i4>33</vt:i4>
      </vt:variant>
      <vt:variant>
        <vt:i4>0</vt:i4>
      </vt:variant>
      <vt:variant>
        <vt:i4>5</vt:i4>
      </vt:variant>
      <vt:variant>
        <vt:lpwstr>http://www.theiia.org/guidance/standards-and-guidance/ippf/practice-advisories/full-list/list-items/?i=8336</vt:lpwstr>
      </vt:variant>
      <vt:variant>
        <vt:lpwstr/>
      </vt:variant>
      <vt:variant>
        <vt:i4>7471229</vt:i4>
      </vt:variant>
      <vt:variant>
        <vt:i4>30</vt:i4>
      </vt:variant>
      <vt:variant>
        <vt:i4>0</vt:i4>
      </vt:variant>
      <vt:variant>
        <vt:i4>5</vt:i4>
      </vt:variant>
      <vt:variant>
        <vt:lpwstr>http://www.theiia.org/guidance/standards-and-guidance/ippf/practice-advisories/full-list/list-items/?i=8334</vt:lpwstr>
      </vt:variant>
      <vt:variant>
        <vt:lpwstr/>
      </vt:variant>
      <vt:variant>
        <vt:i4>7471229</vt:i4>
      </vt:variant>
      <vt:variant>
        <vt:i4>27</vt:i4>
      </vt:variant>
      <vt:variant>
        <vt:i4>0</vt:i4>
      </vt:variant>
      <vt:variant>
        <vt:i4>5</vt:i4>
      </vt:variant>
      <vt:variant>
        <vt:lpwstr>http://www.theiia.org/guidance/standards-and-guidance/ippf/practice-advisories/full-list/list-items/?i=8334</vt:lpwstr>
      </vt:variant>
      <vt:variant>
        <vt:lpwstr/>
      </vt:variant>
      <vt:variant>
        <vt:i4>7471229</vt:i4>
      </vt:variant>
      <vt:variant>
        <vt:i4>24</vt:i4>
      </vt:variant>
      <vt:variant>
        <vt:i4>0</vt:i4>
      </vt:variant>
      <vt:variant>
        <vt:i4>5</vt:i4>
      </vt:variant>
      <vt:variant>
        <vt:lpwstr>http://www.theiia.org/guidance/standards-and-guidance/ippf/practice-advisories/full-list/list-items/?i=8333</vt:lpwstr>
      </vt:variant>
      <vt:variant>
        <vt:lpwstr/>
      </vt:variant>
      <vt:variant>
        <vt:i4>7471229</vt:i4>
      </vt:variant>
      <vt:variant>
        <vt:i4>21</vt:i4>
      </vt:variant>
      <vt:variant>
        <vt:i4>0</vt:i4>
      </vt:variant>
      <vt:variant>
        <vt:i4>5</vt:i4>
      </vt:variant>
      <vt:variant>
        <vt:lpwstr>http://www.theiia.org/guidance/standards-and-guidance/ippf/practice-advisories/full-list/list-items/?i=8333</vt:lpwstr>
      </vt:variant>
      <vt:variant>
        <vt:lpwstr/>
      </vt:variant>
      <vt:variant>
        <vt:i4>655449</vt:i4>
      </vt:variant>
      <vt:variant>
        <vt:i4>18</vt:i4>
      </vt:variant>
      <vt:variant>
        <vt:i4>0</vt:i4>
      </vt:variant>
      <vt:variant>
        <vt:i4>5</vt:i4>
      </vt:variant>
      <vt:variant>
        <vt:lpwstr>http://www.theiia.org/guidance/standards-and-guidance/ippf/standards/</vt:lpwstr>
      </vt:variant>
      <vt:variant>
        <vt:lpwstr/>
      </vt:variant>
      <vt:variant>
        <vt:i4>7340128</vt:i4>
      </vt:variant>
      <vt:variant>
        <vt:i4>15</vt:i4>
      </vt:variant>
      <vt:variant>
        <vt:i4>0</vt:i4>
      </vt:variant>
      <vt:variant>
        <vt:i4>5</vt:i4>
      </vt:variant>
      <vt:variant>
        <vt:lpwstr>http://www.theiia.org/guidance/standards-and-guidance/ippf/code-of-ethics/</vt:lpwstr>
      </vt:variant>
      <vt:variant>
        <vt:lpwstr/>
      </vt:variant>
      <vt:variant>
        <vt:i4>5439518</vt:i4>
      </vt:variant>
      <vt:variant>
        <vt:i4>12</vt:i4>
      </vt:variant>
      <vt:variant>
        <vt:i4>0</vt:i4>
      </vt:variant>
      <vt:variant>
        <vt:i4>5</vt:i4>
      </vt:variant>
      <vt:variant>
        <vt:lpwstr>http://www.mccombs.utexas.edu/mpa/honesty.asp</vt:lpwstr>
      </vt:variant>
      <vt:variant>
        <vt:lpwstr/>
      </vt:variant>
      <vt:variant>
        <vt:i4>4128866</vt:i4>
      </vt:variant>
      <vt:variant>
        <vt:i4>9</vt:i4>
      </vt:variant>
      <vt:variant>
        <vt:i4>0</vt:i4>
      </vt:variant>
      <vt:variant>
        <vt:i4>5</vt:i4>
      </vt:variant>
      <vt:variant>
        <vt:lpwstr>http://www.knowledgeleader.com/</vt:lpwstr>
      </vt:variant>
      <vt:variant>
        <vt:lpwstr/>
      </vt:variant>
      <vt:variant>
        <vt:i4>3407940</vt:i4>
      </vt:variant>
      <vt:variant>
        <vt:i4>6</vt:i4>
      </vt:variant>
      <vt:variant>
        <vt:i4>0</vt:i4>
      </vt:variant>
      <vt:variant>
        <vt:i4>5</vt:i4>
      </vt:variant>
      <vt:variant>
        <vt:lpwstr>../fall 2009/Matthew.Ege@phd.mccombs.utexas.edu</vt:lpwstr>
      </vt:variant>
      <vt:variant>
        <vt:lpwstr/>
      </vt:variant>
      <vt:variant>
        <vt:i4>4522008</vt:i4>
      </vt:variant>
      <vt:variant>
        <vt:i4>3</vt:i4>
      </vt:variant>
      <vt:variant>
        <vt:i4>0</vt:i4>
      </vt:variant>
      <vt:variant>
        <vt:i4>5</vt:i4>
      </vt:variant>
      <vt:variant>
        <vt:lpwstr>http://www.mccombs.utexas.edu/Faculty/Urton.Anderson/</vt:lpwstr>
      </vt:variant>
      <vt:variant>
        <vt:lpwstr/>
      </vt:variant>
      <vt:variant>
        <vt:i4>4718625</vt:i4>
      </vt:variant>
      <vt:variant>
        <vt:i4>0</vt:i4>
      </vt:variant>
      <vt:variant>
        <vt:i4>0</vt:i4>
      </vt:variant>
      <vt:variant>
        <vt:i4>5</vt:i4>
      </vt:variant>
      <vt:variant>
        <vt:lpwstr>mailto:urton@mail.utexas.edu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Stanley.Chang</dc:creator>
  <cp:lastModifiedBy>chang</cp:lastModifiedBy>
  <cp:revision>4</cp:revision>
  <cp:lastPrinted>2016-08-15T08:42:00Z</cp:lastPrinted>
  <dcterms:created xsi:type="dcterms:W3CDTF">2016-08-17T02:34:00Z</dcterms:created>
  <dcterms:modified xsi:type="dcterms:W3CDTF">2016-08-17T06:12:00Z</dcterms:modified>
</cp:coreProperties>
</file>