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FDEA" w14:textId="0750A2B3" w:rsidR="00696B40" w:rsidRPr="001758F7" w:rsidRDefault="004818BF" w:rsidP="00FA0D58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</w:rPr>
      </w:pPr>
      <w:r w:rsidRPr="001758F7">
        <w:rPr>
          <w:rFonts w:ascii="Times New Roman" w:eastAsia="標楷體" w:hAnsi="Times New Roman" w:cs="Times New Roman"/>
          <w:b/>
          <w:bCs/>
        </w:rPr>
        <w:t>研究與寫作專題</w:t>
      </w:r>
    </w:p>
    <w:p w14:paraId="041AC608" w14:textId="5AB93240" w:rsidR="004818BF" w:rsidRDefault="004B33F8" w:rsidP="004B33F8">
      <w:pPr>
        <w:spacing w:line="276" w:lineRule="auto"/>
        <w:jc w:val="center"/>
        <w:rPr>
          <w:rFonts w:ascii="Times New Roman" w:eastAsia="標楷體" w:hAnsi="Times New Roman" w:cs="Times New Roman"/>
        </w:rPr>
      </w:pPr>
      <w:r w:rsidRPr="004B33F8">
        <w:rPr>
          <w:rFonts w:ascii="Times New Roman" w:eastAsia="標楷體" w:hAnsi="Times New Roman" w:cs="Times New Roman"/>
        </w:rPr>
        <w:t>Seminar on Preparing Dissertation and Theses</w:t>
      </w:r>
    </w:p>
    <w:p w14:paraId="0DC9952C" w14:textId="77777777" w:rsidR="004B33F8" w:rsidRPr="001758F7" w:rsidRDefault="004B33F8" w:rsidP="004B33F8">
      <w:pPr>
        <w:spacing w:line="276" w:lineRule="auto"/>
        <w:jc w:val="center"/>
        <w:rPr>
          <w:rFonts w:ascii="Times New Roman" w:eastAsia="標楷體" w:hAnsi="Times New Roman" w:cs="Times New Roman"/>
        </w:rPr>
      </w:pPr>
    </w:p>
    <w:p w14:paraId="6DC91D63" w14:textId="21566FCD" w:rsidR="000E7EE8" w:rsidRDefault="000E7EE8" w:rsidP="00272FF7">
      <w:pPr>
        <w:spacing w:line="276" w:lineRule="auto"/>
        <w:jc w:val="center"/>
        <w:rPr>
          <w:rFonts w:ascii="Times New Roman" w:eastAsia="標楷體" w:hAnsi="Times New Roman" w:cs="Times New Roman"/>
        </w:rPr>
      </w:pPr>
      <w:r w:rsidRPr="001758F7">
        <w:rPr>
          <w:rFonts w:ascii="Times New Roman" w:eastAsia="標楷體" w:hAnsi="Times New Roman" w:cs="Times New Roman"/>
        </w:rPr>
        <w:t>蘇翊豪</w:t>
      </w:r>
    </w:p>
    <w:p w14:paraId="36FDFF95" w14:textId="6500D484" w:rsidR="004818BF" w:rsidRPr="001758F7" w:rsidRDefault="000E7EE8" w:rsidP="00FA0D58">
      <w:pPr>
        <w:spacing w:line="276" w:lineRule="auto"/>
        <w:jc w:val="both"/>
        <w:rPr>
          <w:rFonts w:ascii="Times New Roman" w:eastAsia="標楷體" w:hAnsi="Times New Roman" w:cs="Times New Roman"/>
          <w:b/>
          <w:bCs/>
        </w:rPr>
      </w:pPr>
      <w:r w:rsidRPr="001758F7">
        <w:rPr>
          <w:rFonts w:ascii="Times New Roman" w:eastAsia="標楷體" w:hAnsi="Times New Roman" w:cs="Times New Roman"/>
          <w:b/>
          <w:bCs/>
        </w:rPr>
        <w:t>一、課程概述</w:t>
      </w:r>
    </w:p>
    <w:p w14:paraId="3106E654" w14:textId="4563D39E" w:rsidR="009E719A" w:rsidRPr="001758F7" w:rsidRDefault="000E7EE8" w:rsidP="00FA0D58">
      <w:pPr>
        <w:spacing w:line="276" w:lineRule="auto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1758F7">
        <w:rPr>
          <w:rFonts w:ascii="Times New Roman" w:eastAsia="標楷體" w:hAnsi="Times New Roman" w:cs="Times New Roman"/>
        </w:rPr>
        <w:t>本專題</w:t>
      </w:r>
      <w:r w:rsidR="00D73CAD" w:rsidRPr="001758F7">
        <w:rPr>
          <w:rFonts w:ascii="Times New Roman" w:eastAsia="標楷體" w:hAnsi="Times New Roman" w:cs="Times New Roman"/>
        </w:rPr>
        <w:t>旨在</w:t>
      </w:r>
      <w:r w:rsidR="009E719A" w:rsidRPr="001758F7">
        <w:rPr>
          <w:rFonts w:ascii="Times New Roman" w:eastAsia="標楷體" w:hAnsi="Times New Roman" w:cs="Times New Roman"/>
        </w:rPr>
        <w:t>培養研究所學生良好的論文寫作習慣與技巧，掌握各種社會科學研究方法的原理與操作，以利準備</w:t>
      </w:r>
      <w:proofErr w:type="gramStart"/>
      <w:r w:rsidR="009E719A" w:rsidRPr="001758F7">
        <w:rPr>
          <w:rFonts w:ascii="Times New Roman" w:eastAsia="標楷體" w:hAnsi="Times New Roman" w:cs="Times New Roman"/>
        </w:rPr>
        <w:t>碩</w:t>
      </w:r>
      <w:proofErr w:type="gramEnd"/>
      <w:r w:rsidR="009E719A" w:rsidRPr="001758F7">
        <w:rPr>
          <w:rFonts w:ascii="Times New Roman" w:eastAsia="標楷體" w:hAnsi="Times New Roman" w:cs="Times New Roman"/>
        </w:rPr>
        <w:t>博士論文開題。</w:t>
      </w:r>
      <w:proofErr w:type="gramStart"/>
      <w:r w:rsidR="0068590B" w:rsidRPr="001758F7">
        <w:rPr>
          <w:rFonts w:ascii="Times New Roman" w:eastAsia="標楷體" w:hAnsi="Times New Roman" w:cs="Times New Roman"/>
        </w:rPr>
        <w:t>此外，</w:t>
      </w:r>
      <w:proofErr w:type="gramEnd"/>
      <w:r w:rsidR="009E719A" w:rsidRPr="001758F7">
        <w:rPr>
          <w:rFonts w:ascii="Times New Roman" w:eastAsia="標楷體" w:hAnsi="Times New Roman" w:cs="Times New Roman"/>
        </w:rPr>
        <w:t>對於</w:t>
      </w:r>
      <w:r w:rsidR="0068590B" w:rsidRPr="001758F7">
        <w:rPr>
          <w:rFonts w:ascii="Times New Roman" w:eastAsia="標楷體" w:hAnsi="Times New Roman" w:cs="Times New Roman"/>
        </w:rPr>
        <w:t>立志</w:t>
      </w:r>
      <w:r w:rsidR="009E719A" w:rsidRPr="001758F7">
        <w:rPr>
          <w:rFonts w:ascii="Times New Roman" w:eastAsia="標楷體" w:hAnsi="Times New Roman" w:cs="Times New Roman"/>
        </w:rPr>
        <w:t>未來從事教研工作者，本課程可以增進</w:t>
      </w:r>
      <w:r w:rsidR="00DF60B0">
        <w:rPr>
          <w:rFonts w:ascii="Times New Roman" w:eastAsia="標楷體" w:hAnsi="Times New Roman" w:cs="Times New Roman" w:hint="eastAsia"/>
        </w:rPr>
        <w:t>獨立思考與</w:t>
      </w:r>
      <w:r w:rsidR="009E719A" w:rsidRPr="001758F7">
        <w:rPr>
          <w:rFonts w:ascii="Times New Roman" w:eastAsia="標楷體" w:hAnsi="Times New Roman" w:cs="Times New Roman"/>
        </w:rPr>
        <w:t>申請研究經費</w:t>
      </w:r>
      <w:r w:rsidR="00DF60B0">
        <w:rPr>
          <w:rFonts w:ascii="Times New Roman" w:eastAsia="標楷體" w:hAnsi="Times New Roman" w:cs="Times New Roman" w:hint="eastAsia"/>
        </w:rPr>
        <w:t>等技能</w:t>
      </w:r>
      <w:r w:rsidR="009E719A" w:rsidRPr="001758F7">
        <w:rPr>
          <w:rFonts w:ascii="Times New Roman" w:eastAsia="標楷體" w:hAnsi="Times New Roman" w:cs="Times New Roman"/>
        </w:rPr>
        <w:t>，</w:t>
      </w:r>
      <w:r w:rsidR="0068590B" w:rsidRPr="001758F7">
        <w:rPr>
          <w:rFonts w:ascii="Times New Roman" w:eastAsia="標楷體" w:hAnsi="Times New Roman" w:cs="Times New Roman"/>
        </w:rPr>
        <w:t>而</w:t>
      </w:r>
      <w:r w:rsidR="009E719A" w:rsidRPr="001758F7">
        <w:rPr>
          <w:rFonts w:ascii="Times New Roman" w:eastAsia="標楷體" w:hAnsi="Times New Roman" w:cs="Times New Roman"/>
        </w:rPr>
        <w:t>對於未來有意在政府</w:t>
      </w:r>
      <w:r w:rsidR="000A68FA">
        <w:rPr>
          <w:rFonts w:ascii="Times New Roman" w:eastAsia="標楷體" w:hAnsi="Times New Roman" w:cs="Times New Roman" w:hint="eastAsia"/>
        </w:rPr>
        <w:t>、</w:t>
      </w:r>
      <w:r w:rsidR="009E719A" w:rsidRPr="001758F7">
        <w:rPr>
          <w:rFonts w:ascii="Times New Roman" w:eastAsia="標楷體" w:hAnsi="Times New Roman" w:cs="Times New Roman"/>
        </w:rPr>
        <w:t>智庫</w:t>
      </w:r>
      <w:r w:rsidR="000A68FA">
        <w:rPr>
          <w:rFonts w:ascii="Times New Roman" w:eastAsia="標楷體" w:hAnsi="Times New Roman" w:cs="Times New Roman" w:hint="eastAsia"/>
        </w:rPr>
        <w:t>、媒體等領域</w:t>
      </w:r>
      <w:r w:rsidR="009E719A" w:rsidRPr="001758F7">
        <w:rPr>
          <w:rFonts w:ascii="Times New Roman" w:eastAsia="標楷體" w:hAnsi="Times New Roman" w:cs="Times New Roman"/>
        </w:rPr>
        <w:t>耕耘者，所學知識可以運用在強化分析</w:t>
      </w:r>
      <w:r w:rsidR="002918DF" w:rsidRPr="001758F7">
        <w:rPr>
          <w:rFonts w:ascii="Times New Roman" w:eastAsia="標楷體" w:hAnsi="Times New Roman" w:cs="Times New Roman"/>
        </w:rPr>
        <w:t>能力</w:t>
      </w:r>
      <w:r w:rsidR="009E719A" w:rsidRPr="001758F7">
        <w:rPr>
          <w:rFonts w:ascii="Times New Roman" w:eastAsia="標楷體" w:hAnsi="Times New Roman" w:cs="Times New Roman"/>
        </w:rPr>
        <w:t>及職場競爭力。</w:t>
      </w:r>
    </w:p>
    <w:p w14:paraId="674DFBF7" w14:textId="77777777" w:rsidR="009E719A" w:rsidRPr="001758F7" w:rsidRDefault="009E719A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232B7D76" w14:textId="412EA10D" w:rsidR="000E7EE8" w:rsidRPr="001758F7" w:rsidRDefault="000E7EE8" w:rsidP="00FA0D58">
      <w:pPr>
        <w:spacing w:line="276" w:lineRule="auto"/>
        <w:jc w:val="both"/>
        <w:rPr>
          <w:rFonts w:ascii="Times New Roman" w:eastAsia="標楷體" w:hAnsi="Times New Roman" w:cs="Times New Roman"/>
          <w:b/>
          <w:bCs/>
        </w:rPr>
      </w:pPr>
      <w:r w:rsidRPr="001758F7">
        <w:rPr>
          <w:rFonts w:ascii="Times New Roman" w:eastAsia="標楷體" w:hAnsi="Times New Roman" w:cs="Times New Roman"/>
          <w:b/>
          <w:bCs/>
        </w:rPr>
        <w:t>二、課程目標</w:t>
      </w:r>
    </w:p>
    <w:p w14:paraId="30A0C8DD" w14:textId="77777777" w:rsidR="001337FD" w:rsidRPr="001758F7" w:rsidRDefault="00D73CAD" w:rsidP="00FA0D58">
      <w:pPr>
        <w:pStyle w:val="a8"/>
        <w:numPr>
          <w:ilvl w:val="0"/>
          <w:numId w:val="6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瞭解論文</w:t>
      </w:r>
      <w:r w:rsidR="00FF65B5" w:rsidRPr="001758F7">
        <w:rPr>
          <w:rFonts w:eastAsia="標楷體"/>
          <w:lang w:eastAsia="zh-TW"/>
        </w:rPr>
        <w:t>寫作規範、格式、與倫理</w:t>
      </w:r>
      <w:r w:rsidR="002918DF" w:rsidRPr="001758F7">
        <w:rPr>
          <w:rFonts w:eastAsia="標楷體"/>
          <w:lang w:eastAsia="zh-TW"/>
        </w:rPr>
        <w:t>。</w:t>
      </w:r>
    </w:p>
    <w:p w14:paraId="402FA89C" w14:textId="77777777" w:rsidR="001337FD" w:rsidRPr="001758F7" w:rsidRDefault="00FF65B5" w:rsidP="00FA0D58">
      <w:pPr>
        <w:pStyle w:val="a8"/>
        <w:numPr>
          <w:ilvl w:val="0"/>
          <w:numId w:val="6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培養問題意識與批判性思</w:t>
      </w:r>
      <w:r w:rsidR="00D64025" w:rsidRPr="001758F7">
        <w:rPr>
          <w:rFonts w:eastAsia="標楷體"/>
          <w:lang w:eastAsia="zh-TW"/>
        </w:rPr>
        <w:t>維以</w:t>
      </w:r>
      <w:r w:rsidR="002918DF" w:rsidRPr="001758F7">
        <w:rPr>
          <w:rFonts w:eastAsia="標楷體"/>
          <w:lang w:eastAsia="zh-TW"/>
        </w:rPr>
        <w:t>進行</w:t>
      </w:r>
      <w:r w:rsidR="00D64025" w:rsidRPr="001758F7">
        <w:rPr>
          <w:rFonts w:eastAsia="標楷體"/>
          <w:lang w:eastAsia="zh-TW"/>
        </w:rPr>
        <w:t>文獻檢閱</w:t>
      </w:r>
      <w:r w:rsidR="002918DF" w:rsidRPr="001758F7">
        <w:rPr>
          <w:rFonts w:eastAsia="標楷體"/>
          <w:lang w:eastAsia="zh-TW"/>
        </w:rPr>
        <w:t>。</w:t>
      </w:r>
    </w:p>
    <w:p w14:paraId="6F0AF69B" w14:textId="77777777" w:rsidR="001337FD" w:rsidRPr="001758F7" w:rsidRDefault="00D64025" w:rsidP="00FA0D58">
      <w:pPr>
        <w:pStyle w:val="a8"/>
        <w:numPr>
          <w:ilvl w:val="0"/>
          <w:numId w:val="6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擬定研究設計以回答問題、</w:t>
      </w:r>
      <w:r w:rsidR="00AA26E6" w:rsidRPr="001758F7">
        <w:rPr>
          <w:rFonts w:eastAsia="標楷體"/>
          <w:lang w:eastAsia="zh-TW"/>
        </w:rPr>
        <w:t>勾勒假設</w:t>
      </w:r>
      <w:r w:rsidRPr="001758F7">
        <w:rPr>
          <w:rFonts w:eastAsia="標楷體"/>
          <w:lang w:eastAsia="zh-TW"/>
        </w:rPr>
        <w:t>、及規劃資料蒐集進度</w:t>
      </w:r>
      <w:r w:rsidR="002918DF" w:rsidRPr="001758F7">
        <w:rPr>
          <w:rFonts w:eastAsia="標楷體"/>
          <w:lang w:eastAsia="zh-TW"/>
        </w:rPr>
        <w:t>。</w:t>
      </w:r>
    </w:p>
    <w:p w14:paraId="3846BAE3" w14:textId="77777777" w:rsidR="001337FD" w:rsidRPr="001758F7" w:rsidRDefault="00D64025" w:rsidP="00FA0D58">
      <w:pPr>
        <w:pStyle w:val="a8"/>
        <w:numPr>
          <w:ilvl w:val="0"/>
          <w:numId w:val="6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認識各種研究方法的</w:t>
      </w:r>
      <w:r w:rsidR="002918DF" w:rsidRPr="001758F7">
        <w:rPr>
          <w:rFonts w:eastAsia="標楷體"/>
          <w:lang w:eastAsia="zh-TW"/>
        </w:rPr>
        <w:t>長短處</w:t>
      </w:r>
      <w:r w:rsidRPr="001758F7">
        <w:rPr>
          <w:rFonts w:eastAsia="標楷體"/>
          <w:lang w:eastAsia="zh-TW"/>
        </w:rPr>
        <w:t>與掌握適當的資料分析步驟</w:t>
      </w:r>
      <w:r w:rsidR="002918DF" w:rsidRPr="001758F7">
        <w:rPr>
          <w:rFonts w:eastAsia="標楷體"/>
          <w:lang w:eastAsia="zh-TW"/>
        </w:rPr>
        <w:t>。</w:t>
      </w:r>
    </w:p>
    <w:p w14:paraId="1C17111D" w14:textId="413563E9" w:rsidR="00FF65B5" w:rsidRPr="001758F7" w:rsidRDefault="00D64025" w:rsidP="00FA0D58">
      <w:pPr>
        <w:pStyle w:val="a8"/>
        <w:numPr>
          <w:ilvl w:val="0"/>
          <w:numId w:val="6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訓練口頭發表</w:t>
      </w:r>
      <w:r w:rsidR="00272FF7" w:rsidRPr="001758F7">
        <w:rPr>
          <w:rFonts w:eastAsia="標楷體"/>
          <w:lang w:eastAsia="zh-TW"/>
        </w:rPr>
        <w:t>與評論</w:t>
      </w:r>
      <w:r w:rsidRPr="001758F7">
        <w:rPr>
          <w:rFonts w:eastAsia="標楷體"/>
          <w:lang w:eastAsia="zh-TW"/>
        </w:rPr>
        <w:t>能力</w:t>
      </w:r>
      <w:r w:rsidR="002918DF" w:rsidRPr="001758F7">
        <w:rPr>
          <w:rFonts w:eastAsia="標楷體"/>
          <w:lang w:eastAsia="zh-TW"/>
        </w:rPr>
        <w:t>。</w:t>
      </w:r>
    </w:p>
    <w:p w14:paraId="7BDBBF64" w14:textId="77777777" w:rsidR="000B699D" w:rsidRPr="001758F7" w:rsidRDefault="000B699D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112C5175" w14:textId="630A953F" w:rsidR="000B699D" w:rsidRPr="001758F7" w:rsidRDefault="00DC7BF6" w:rsidP="00FA0D58">
      <w:pPr>
        <w:spacing w:line="276" w:lineRule="auto"/>
        <w:jc w:val="both"/>
        <w:rPr>
          <w:rFonts w:ascii="Times New Roman" w:eastAsia="標楷體" w:hAnsi="Times New Roman" w:cs="Times New Roman"/>
          <w:b/>
          <w:bCs/>
        </w:rPr>
      </w:pPr>
      <w:r w:rsidRPr="001758F7">
        <w:rPr>
          <w:rFonts w:ascii="Times New Roman" w:eastAsia="標楷體" w:hAnsi="Times New Roman" w:cs="Times New Roman"/>
          <w:b/>
          <w:bCs/>
        </w:rPr>
        <w:t>三</w:t>
      </w:r>
      <w:r w:rsidR="000B699D" w:rsidRPr="001758F7">
        <w:rPr>
          <w:rFonts w:ascii="Times New Roman" w:eastAsia="標楷體" w:hAnsi="Times New Roman" w:cs="Times New Roman"/>
          <w:b/>
          <w:bCs/>
        </w:rPr>
        <w:t>、</w:t>
      </w:r>
      <w:r w:rsidR="00DF60B0">
        <w:rPr>
          <w:rFonts w:ascii="Times New Roman" w:eastAsia="標楷體" w:hAnsi="Times New Roman" w:cs="Times New Roman" w:hint="eastAsia"/>
          <w:b/>
          <w:bCs/>
        </w:rPr>
        <w:t>課程要求</w:t>
      </w:r>
      <w:r w:rsidR="009346E4">
        <w:rPr>
          <w:rFonts w:ascii="Times New Roman" w:eastAsia="標楷體" w:hAnsi="Times New Roman" w:cs="Times New Roman" w:hint="eastAsia"/>
          <w:b/>
          <w:bCs/>
        </w:rPr>
        <w:t>與授課方式</w:t>
      </w:r>
    </w:p>
    <w:p w14:paraId="19F95E84" w14:textId="65CB88DA" w:rsidR="009E719A" w:rsidRPr="001758F7" w:rsidRDefault="009E719A" w:rsidP="005E670F">
      <w:pPr>
        <w:spacing w:line="276" w:lineRule="auto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1758F7">
        <w:rPr>
          <w:rFonts w:ascii="Times New Roman" w:eastAsia="標楷體" w:hAnsi="Times New Roman" w:cs="Times New Roman"/>
        </w:rPr>
        <w:t>課程第一階段，主要探討學界關於本體論、知識論、及方法論上的爭辯，尤其是量化與質化研究法的異同，並且加強學生開展問題意識、撰寫文獻檢閱的能力。第二階段聚焦在個別研究方法，</w:t>
      </w:r>
      <w:r w:rsidR="002918DF" w:rsidRPr="001758F7">
        <w:rPr>
          <w:rFonts w:ascii="Times New Roman" w:eastAsia="標楷體" w:hAnsi="Times New Roman" w:cs="Times New Roman"/>
        </w:rPr>
        <w:t>學生將學習如何</w:t>
      </w:r>
      <w:r w:rsidRPr="001758F7">
        <w:rPr>
          <w:rFonts w:ascii="Times New Roman" w:eastAsia="標楷體" w:hAnsi="Times New Roman" w:cs="Times New Roman"/>
        </w:rPr>
        <w:t>聯繫理論和資料，並瞭解方法之間無優劣之別，關鍵在於找出最能回答研究問題的方法。在該階段，</w:t>
      </w:r>
      <w:r w:rsidR="002918DF" w:rsidRPr="001758F7">
        <w:rPr>
          <w:rFonts w:ascii="Times New Roman" w:eastAsia="標楷體" w:hAnsi="Times New Roman" w:cs="Times New Roman"/>
        </w:rPr>
        <w:t>學生</w:t>
      </w:r>
      <w:r w:rsidRPr="001758F7">
        <w:rPr>
          <w:rFonts w:ascii="Times New Roman" w:eastAsia="標楷體" w:hAnsi="Times New Roman" w:cs="Times New Roman"/>
        </w:rPr>
        <w:t>假定自己將申請經費資助研究，自選任何有提供相關經費的國際組織、政府部門、企業、或研究機構，</w:t>
      </w:r>
      <w:r w:rsidR="005E670F" w:rsidRPr="001758F7">
        <w:rPr>
          <w:rFonts w:ascii="Times New Roman" w:eastAsia="標楷體" w:hAnsi="Times New Roman" w:cs="Times New Roman"/>
        </w:rPr>
        <w:t>彙整先前撰寫的文獻回顧及研究設計</w:t>
      </w:r>
      <w:r w:rsidR="00232E83" w:rsidRPr="001758F7">
        <w:rPr>
          <w:rFonts w:ascii="Times New Roman" w:eastAsia="標楷體" w:hAnsi="Times New Roman" w:cs="Times New Roman"/>
        </w:rPr>
        <w:t>，</w:t>
      </w:r>
      <w:r w:rsidR="005E670F" w:rsidRPr="001758F7">
        <w:rPr>
          <w:rFonts w:ascii="Times New Roman" w:eastAsia="標楷體" w:hAnsi="Times New Roman" w:cs="Times New Roman"/>
        </w:rPr>
        <w:t>完成</w:t>
      </w:r>
      <w:r w:rsidR="009B2E65" w:rsidRPr="001758F7">
        <w:rPr>
          <w:rFonts w:ascii="Times New Roman" w:eastAsia="標楷體" w:hAnsi="Times New Roman" w:cs="Times New Roman"/>
        </w:rPr>
        <w:t>至少</w:t>
      </w:r>
      <w:r w:rsidR="00EC2550" w:rsidRPr="001758F7">
        <w:rPr>
          <w:rFonts w:ascii="Times New Roman" w:eastAsia="標楷體" w:hAnsi="Times New Roman" w:cs="Times New Roman"/>
        </w:rPr>
        <w:t>10</w:t>
      </w:r>
      <w:r w:rsidR="009B2E65" w:rsidRPr="001758F7">
        <w:rPr>
          <w:rFonts w:ascii="Times New Roman" w:eastAsia="標楷體" w:hAnsi="Times New Roman" w:cs="Times New Roman"/>
        </w:rPr>
        <w:t>頁</w:t>
      </w:r>
      <w:r w:rsidR="00471769" w:rsidRPr="001758F7">
        <w:rPr>
          <w:rFonts w:ascii="Times New Roman" w:eastAsia="標楷體" w:hAnsi="Times New Roman" w:cs="Times New Roman"/>
        </w:rPr>
        <w:t>雙倍行距</w:t>
      </w:r>
      <w:r w:rsidR="009B2E65" w:rsidRPr="001758F7">
        <w:rPr>
          <w:rFonts w:ascii="Times New Roman" w:eastAsia="標楷體" w:hAnsi="Times New Roman" w:cs="Times New Roman"/>
        </w:rPr>
        <w:t>的</w:t>
      </w:r>
      <w:r w:rsidR="005E670F" w:rsidRPr="001758F7">
        <w:rPr>
          <w:rFonts w:ascii="Times New Roman" w:eastAsia="標楷體" w:hAnsi="Times New Roman" w:cs="Times New Roman"/>
        </w:rPr>
        <w:t>初稿後於課堂口頭發表</w:t>
      </w:r>
      <w:r w:rsidR="00232E83" w:rsidRPr="001758F7">
        <w:rPr>
          <w:rFonts w:ascii="Times New Roman" w:eastAsia="標楷體" w:hAnsi="Times New Roman" w:cs="Times New Roman"/>
        </w:rPr>
        <w:t>20</w:t>
      </w:r>
      <w:r w:rsidR="009B2E65" w:rsidRPr="001758F7">
        <w:rPr>
          <w:rFonts w:ascii="Times New Roman" w:eastAsia="標楷體" w:hAnsi="Times New Roman" w:cs="Times New Roman"/>
        </w:rPr>
        <w:t>分鐘</w:t>
      </w:r>
      <w:r w:rsidR="00232E83" w:rsidRPr="001758F7">
        <w:rPr>
          <w:rFonts w:ascii="Times New Roman" w:eastAsia="標楷體" w:hAnsi="Times New Roman" w:cs="Times New Roman"/>
        </w:rPr>
        <w:t>。其後</w:t>
      </w:r>
      <w:r w:rsidR="005E670F" w:rsidRPr="001758F7">
        <w:rPr>
          <w:rFonts w:ascii="Times New Roman" w:eastAsia="標楷體" w:hAnsi="Times New Roman" w:cs="Times New Roman"/>
        </w:rPr>
        <w:t>接受指定同學的評論與詰問，取得反饋意見後於期末繳交一份</w:t>
      </w:r>
      <w:r w:rsidR="00EC2550" w:rsidRPr="001758F7">
        <w:rPr>
          <w:rFonts w:ascii="Times New Roman" w:eastAsia="標楷體" w:hAnsi="Times New Roman" w:cs="Times New Roman"/>
        </w:rPr>
        <w:t>至少</w:t>
      </w:r>
      <w:r w:rsidR="00F6665A" w:rsidRPr="001758F7">
        <w:rPr>
          <w:rFonts w:ascii="Times New Roman" w:eastAsia="標楷體" w:hAnsi="Times New Roman" w:cs="Times New Roman"/>
        </w:rPr>
        <w:t>12</w:t>
      </w:r>
      <w:r w:rsidR="00F6665A" w:rsidRPr="001758F7">
        <w:rPr>
          <w:rFonts w:ascii="Times New Roman" w:eastAsia="標楷體" w:hAnsi="Times New Roman" w:cs="Times New Roman"/>
        </w:rPr>
        <w:t>頁，</w:t>
      </w:r>
      <w:r w:rsidR="005E670F" w:rsidRPr="001758F7">
        <w:rPr>
          <w:rFonts w:ascii="Times New Roman" w:eastAsia="標楷體" w:hAnsi="Times New Roman" w:cs="Times New Roman"/>
        </w:rPr>
        <w:t>申請科</w:t>
      </w:r>
      <w:proofErr w:type="gramStart"/>
      <w:r w:rsidR="005E670F" w:rsidRPr="001758F7">
        <w:rPr>
          <w:rFonts w:ascii="Times New Roman" w:eastAsia="標楷體" w:hAnsi="Times New Roman" w:cs="Times New Roman"/>
        </w:rPr>
        <w:t>研</w:t>
      </w:r>
      <w:proofErr w:type="gramEnd"/>
      <w:r w:rsidR="005E670F" w:rsidRPr="001758F7">
        <w:rPr>
          <w:rFonts w:ascii="Times New Roman" w:eastAsia="標楷體" w:hAnsi="Times New Roman" w:cs="Times New Roman"/>
        </w:rPr>
        <w:t>經費的完整計畫。</w:t>
      </w:r>
    </w:p>
    <w:p w14:paraId="73627DB9" w14:textId="53B6A233" w:rsidR="00FA0D58" w:rsidRDefault="009E719A" w:rsidP="00FA0D58">
      <w:pPr>
        <w:spacing w:line="276" w:lineRule="auto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1758F7">
        <w:rPr>
          <w:rFonts w:ascii="Times New Roman" w:eastAsia="標楷體" w:hAnsi="Times New Roman" w:cs="Times New Roman"/>
        </w:rPr>
        <w:t>每</w:t>
      </w:r>
      <w:r w:rsidR="00935F3C" w:rsidRPr="001758F7">
        <w:rPr>
          <w:rFonts w:ascii="Times New Roman" w:eastAsia="標楷體" w:hAnsi="Times New Roman" w:cs="Times New Roman"/>
        </w:rPr>
        <w:t>週</w:t>
      </w:r>
      <w:r w:rsidRPr="001758F7">
        <w:rPr>
          <w:rFonts w:ascii="Times New Roman" w:eastAsia="標楷體" w:hAnsi="Times New Roman" w:cs="Times New Roman"/>
        </w:rPr>
        <w:t>課堂分成兩部分，第一節課</w:t>
      </w:r>
      <w:r w:rsidR="00FA0D58" w:rsidRPr="001758F7">
        <w:rPr>
          <w:rFonts w:ascii="Times New Roman" w:eastAsia="標楷體" w:hAnsi="Times New Roman" w:cs="Times New Roman"/>
        </w:rPr>
        <w:t>討論</w:t>
      </w:r>
      <w:r w:rsidRPr="001758F7">
        <w:rPr>
          <w:rFonts w:ascii="Times New Roman" w:eastAsia="標楷體" w:hAnsi="Times New Roman" w:cs="Times New Roman"/>
        </w:rPr>
        <w:t>讀本與問題，所有同學針對第一與第二階段課程的</w:t>
      </w:r>
      <w:r w:rsidR="00545ACE" w:rsidRPr="001758F7">
        <w:rPr>
          <w:rFonts w:ascii="Times New Roman" w:eastAsia="標楷體" w:hAnsi="Times New Roman" w:cs="Times New Roman"/>
        </w:rPr>
        <w:t>必讀</w:t>
      </w:r>
      <w:r w:rsidRPr="001758F7">
        <w:rPr>
          <w:rFonts w:ascii="Times New Roman" w:eastAsia="標楷體" w:hAnsi="Times New Roman" w:cs="Times New Roman"/>
        </w:rPr>
        <w:t>讀本，各</w:t>
      </w:r>
      <w:r w:rsidR="00232E83" w:rsidRPr="001758F7">
        <w:rPr>
          <w:rFonts w:ascii="Times New Roman" w:eastAsia="標楷體" w:hAnsi="Times New Roman" w:cs="Times New Roman"/>
        </w:rPr>
        <w:t>挑選</w:t>
      </w:r>
      <w:proofErr w:type="gramStart"/>
      <w:r w:rsidR="00232E83" w:rsidRPr="001758F7">
        <w:rPr>
          <w:rFonts w:ascii="Times New Roman" w:eastAsia="標楷體" w:hAnsi="Times New Roman" w:cs="Times New Roman"/>
        </w:rPr>
        <w:t>一</w:t>
      </w:r>
      <w:r w:rsidR="00935F3C" w:rsidRPr="001758F7">
        <w:rPr>
          <w:rFonts w:ascii="Times New Roman" w:eastAsia="標楷體" w:hAnsi="Times New Roman" w:cs="Times New Roman"/>
        </w:rPr>
        <w:t>週</w:t>
      </w:r>
      <w:proofErr w:type="gramEnd"/>
      <w:r w:rsidRPr="001758F7">
        <w:rPr>
          <w:rFonts w:ascii="Times New Roman" w:eastAsia="標楷體" w:hAnsi="Times New Roman" w:cs="Times New Roman"/>
        </w:rPr>
        <w:t>撰寫一篇</w:t>
      </w:r>
      <w:r w:rsidR="00AC5726" w:rsidRPr="001758F7">
        <w:rPr>
          <w:rFonts w:ascii="Times New Roman" w:eastAsia="標楷體" w:hAnsi="Times New Roman" w:cs="Times New Roman"/>
        </w:rPr>
        <w:t>4</w:t>
      </w:r>
      <w:r w:rsidRPr="001758F7">
        <w:rPr>
          <w:rFonts w:ascii="Times New Roman" w:eastAsia="標楷體" w:hAnsi="Times New Roman" w:cs="Times New Roman"/>
        </w:rPr>
        <w:t>頁以內的議題報告。另外，為培養學生發問能力，</w:t>
      </w:r>
      <w:r w:rsidR="00DC0DE4">
        <w:rPr>
          <w:rFonts w:ascii="Times New Roman" w:eastAsia="標楷體" w:hAnsi="Times New Roman" w:cs="Times New Roman" w:hint="eastAsia"/>
        </w:rPr>
        <w:t>每位</w:t>
      </w:r>
      <w:r w:rsidRPr="001758F7">
        <w:rPr>
          <w:rFonts w:ascii="Times New Roman" w:eastAsia="標楷體" w:hAnsi="Times New Roman" w:cs="Times New Roman"/>
        </w:rPr>
        <w:t>同學針對每</w:t>
      </w:r>
      <w:r w:rsidR="00935F3C" w:rsidRPr="001758F7">
        <w:rPr>
          <w:rFonts w:ascii="Times New Roman" w:eastAsia="標楷體" w:hAnsi="Times New Roman" w:cs="Times New Roman"/>
        </w:rPr>
        <w:t>週</w:t>
      </w:r>
      <w:r w:rsidRPr="001758F7">
        <w:rPr>
          <w:rFonts w:ascii="Times New Roman" w:eastAsia="標楷體" w:hAnsi="Times New Roman" w:cs="Times New Roman"/>
        </w:rPr>
        <w:t>讀本各提</w:t>
      </w:r>
      <w:r w:rsidR="008F5C9A" w:rsidRPr="001758F7">
        <w:rPr>
          <w:rFonts w:ascii="Times New Roman" w:eastAsia="標楷體" w:hAnsi="Times New Roman" w:cs="Times New Roman"/>
        </w:rPr>
        <w:t>1</w:t>
      </w:r>
      <w:r w:rsidRPr="001758F7">
        <w:rPr>
          <w:rFonts w:ascii="Times New Roman" w:eastAsia="標楷體" w:hAnsi="Times New Roman" w:cs="Times New Roman"/>
        </w:rPr>
        <w:t>個問題，在</w:t>
      </w:r>
      <w:r w:rsidR="00A94F11">
        <w:rPr>
          <w:rFonts w:ascii="Times New Roman" w:eastAsia="標楷體" w:hAnsi="Times New Roman" w:cs="Times New Roman" w:hint="eastAsia"/>
        </w:rPr>
        <w:t>每週四</w:t>
      </w:r>
      <w:r w:rsidRPr="001758F7">
        <w:rPr>
          <w:rFonts w:ascii="Times New Roman" w:eastAsia="標楷體" w:hAnsi="Times New Roman" w:cs="Times New Roman"/>
        </w:rPr>
        <w:t>午夜</w:t>
      </w:r>
      <w:r w:rsidR="00A94F11">
        <w:rPr>
          <w:rFonts w:ascii="Times New Roman" w:eastAsia="標楷體" w:hAnsi="Times New Roman" w:cs="Times New Roman" w:hint="eastAsia"/>
        </w:rPr>
        <w:t>12</w:t>
      </w:r>
      <w:r w:rsidR="00A94F11">
        <w:rPr>
          <w:rFonts w:ascii="Times New Roman" w:eastAsia="標楷體" w:hAnsi="Times New Roman" w:cs="Times New Roman" w:hint="eastAsia"/>
        </w:rPr>
        <w:t>點以</w:t>
      </w:r>
      <w:r w:rsidRPr="001758F7">
        <w:rPr>
          <w:rFonts w:ascii="Times New Roman" w:eastAsia="標楷體" w:hAnsi="Times New Roman" w:cs="Times New Roman"/>
        </w:rPr>
        <w:t>前，以電子郵件寄送該問題予授課教師，教師依照問題重要性排列整理供課堂討論。第二節課就個別</w:t>
      </w:r>
      <w:r w:rsidR="00FA0D58" w:rsidRPr="001758F7">
        <w:rPr>
          <w:rFonts w:ascii="Times New Roman" w:eastAsia="標楷體" w:hAnsi="Times New Roman" w:cs="Times New Roman"/>
        </w:rPr>
        <w:t>論文寫作技巧或</w:t>
      </w:r>
      <w:r w:rsidRPr="001758F7">
        <w:rPr>
          <w:rFonts w:ascii="Times New Roman" w:eastAsia="標楷體" w:hAnsi="Times New Roman" w:cs="Times New Roman"/>
        </w:rPr>
        <w:t>研究方法進行實作練習，授課教師將設計課堂活動，提供學生掌握各項</w:t>
      </w:r>
      <w:r w:rsidR="00FA0D58" w:rsidRPr="001758F7">
        <w:rPr>
          <w:rFonts w:ascii="Times New Roman" w:eastAsia="標楷體" w:hAnsi="Times New Roman" w:cs="Times New Roman"/>
        </w:rPr>
        <w:t>方</w:t>
      </w:r>
      <w:r w:rsidRPr="001758F7">
        <w:rPr>
          <w:rFonts w:ascii="Times New Roman" w:eastAsia="標楷體" w:hAnsi="Times New Roman" w:cs="Times New Roman"/>
        </w:rPr>
        <w:t>法的實施技巧，</w:t>
      </w:r>
      <w:r w:rsidR="005E670F" w:rsidRPr="001758F7">
        <w:rPr>
          <w:rFonts w:ascii="Times New Roman" w:eastAsia="標楷體" w:hAnsi="Times New Roman" w:cs="Times New Roman"/>
        </w:rPr>
        <w:t>並且隨機分配組員，</w:t>
      </w:r>
      <w:r w:rsidR="00926753">
        <w:rPr>
          <w:rFonts w:ascii="Times New Roman" w:eastAsia="標楷體" w:hAnsi="Times New Roman" w:cs="Times New Roman" w:hint="eastAsia"/>
        </w:rPr>
        <w:t>分工蒐集資料並</w:t>
      </w:r>
      <w:r w:rsidR="005E670F" w:rsidRPr="001758F7">
        <w:rPr>
          <w:rFonts w:ascii="Times New Roman" w:eastAsia="標楷體" w:hAnsi="Times New Roman" w:cs="Times New Roman"/>
        </w:rPr>
        <w:t>相互討論</w:t>
      </w:r>
      <w:r w:rsidR="00DA1A6E" w:rsidRPr="001758F7">
        <w:rPr>
          <w:rFonts w:ascii="Times New Roman" w:eastAsia="標楷體" w:hAnsi="Times New Roman" w:cs="Times New Roman"/>
        </w:rPr>
        <w:t>以</w:t>
      </w:r>
      <w:r w:rsidR="005E670F" w:rsidRPr="001758F7">
        <w:rPr>
          <w:rFonts w:ascii="Times New Roman" w:eastAsia="標楷體" w:hAnsi="Times New Roman" w:cs="Times New Roman"/>
        </w:rPr>
        <w:t>完成</w:t>
      </w:r>
      <w:r w:rsidR="008951F8" w:rsidRPr="001758F7">
        <w:rPr>
          <w:rFonts w:ascii="Times New Roman" w:eastAsia="標楷體" w:hAnsi="Times New Roman" w:cs="Times New Roman"/>
        </w:rPr>
        <w:t>活動</w:t>
      </w:r>
      <w:r w:rsidR="005E670F" w:rsidRPr="001758F7">
        <w:rPr>
          <w:rFonts w:ascii="Times New Roman" w:eastAsia="標楷體" w:hAnsi="Times New Roman" w:cs="Times New Roman"/>
        </w:rPr>
        <w:t>。</w:t>
      </w:r>
    </w:p>
    <w:p w14:paraId="6984522C" w14:textId="77777777" w:rsidR="002537CF" w:rsidRPr="001758F7" w:rsidRDefault="002537CF" w:rsidP="00FA0D58">
      <w:pPr>
        <w:spacing w:line="276" w:lineRule="auto"/>
        <w:ind w:firstLineChars="200" w:firstLine="480"/>
        <w:jc w:val="both"/>
        <w:rPr>
          <w:rFonts w:ascii="Times New Roman" w:eastAsia="標楷體" w:hAnsi="Times New Roman" w:cs="Times New Roman"/>
        </w:rPr>
      </w:pPr>
    </w:p>
    <w:p w14:paraId="274B7F30" w14:textId="0505073A" w:rsidR="000E7EE8" w:rsidRPr="001758F7" w:rsidRDefault="00DC7BF6" w:rsidP="00FA0D58">
      <w:pPr>
        <w:spacing w:line="276" w:lineRule="auto"/>
        <w:jc w:val="both"/>
        <w:rPr>
          <w:rFonts w:ascii="Times New Roman" w:eastAsia="標楷體" w:hAnsi="Times New Roman" w:cs="Times New Roman"/>
          <w:b/>
          <w:bCs/>
        </w:rPr>
      </w:pPr>
      <w:r w:rsidRPr="001758F7">
        <w:rPr>
          <w:rFonts w:ascii="Times New Roman" w:eastAsia="標楷體" w:hAnsi="Times New Roman" w:cs="Times New Roman"/>
          <w:b/>
          <w:bCs/>
        </w:rPr>
        <w:lastRenderedPageBreak/>
        <w:t>四</w:t>
      </w:r>
      <w:r w:rsidR="000E7EE8" w:rsidRPr="001758F7">
        <w:rPr>
          <w:rFonts w:ascii="Times New Roman" w:eastAsia="標楷體" w:hAnsi="Times New Roman" w:cs="Times New Roman"/>
          <w:b/>
          <w:bCs/>
        </w:rPr>
        <w:t>、</w:t>
      </w:r>
      <w:r w:rsidR="00BB5755" w:rsidRPr="001758F7">
        <w:rPr>
          <w:rFonts w:ascii="Times New Roman" w:eastAsia="標楷體" w:hAnsi="Times New Roman" w:cs="Times New Roman"/>
          <w:b/>
          <w:bCs/>
        </w:rPr>
        <w:t>評</w:t>
      </w:r>
      <w:r w:rsidR="006A417A">
        <w:rPr>
          <w:rFonts w:ascii="Times New Roman" w:eastAsia="標楷體" w:hAnsi="Times New Roman" w:cs="Times New Roman" w:hint="eastAsia"/>
          <w:b/>
          <w:bCs/>
        </w:rPr>
        <w:t>量</w:t>
      </w:r>
      <w:r w:rsidR="00BB5755" w:rsidRPr="001758F7">
        <w:rPr>
          <w:rFonts w:ascii="Times New Roman" w:eastAsia="標楷體" w:hAnsi="Times New Roman" w:cs="Times New Roman"/>
          <w:b/>
          <w:bCs/>
        </w:rPr>
        <w:t>方式</w:t>
      </w:r>
    </w:p>
    <w:p w14:paraId="45D71E60" w14:textId="29E0F4E4" w:rsidR="001337FD" w:rsidRPr="001758F7" w:rsidRDefault="00FA0D58" w:rsidP="00FA0D58">
      <w:pPr>
        <w:pStyle w:val="a8"/>
        <w:numPr>
          <w:ilvl w:val="0"/>
          <w:numId w:val="7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課</w:t>
      </w:r>
      <w:r w:rsidR="00AE2622">
        <w:rPr>
          <w:rFonts w:eastAsia="標楷體" w:hint="eastAsia"/>
          <w:lang w:eastAsia="zh-TW"/>
        </w:rPr>
        <w:t>堂提問</w:t>
      </w:r>
      <w:r w:rsidR="00BF4704" w:rsidRPr="001758F7">
        <w:rPr>
          <w:rFonts w:eastAsia="標楷體"/>
          <w:lang w:eastAsia="zh-TW"/>
        </w:rPr>
        <w:t>和</w:t>
      </w:r>
      <w:r w:rsidR="00AE2622">
        <w:rPr>
          <w:rFonts w:eastAsia="標楷體" w:hint="eastAsia"/>
          <w:lang w:eastAsia="zh-TW"/>
        </w:rPr>
        <w:t>活動</w:t>
      </w:r>
      <w:r w:rsidRPr="001758F7">
        <w:rPr>
          <w:rFonts w:eastAsia="標楷體"/>
          <w:lang w:eastAsia="zh-TW"/>
        </w:rPr>
        <w:t>參與</w:t>
      </w:r>
      <w:r w:rsidR="00BB5755" w:rsidRPr="001758F7">
        <w:rPr>
          <w:rFonts w:eastAsia="標楷體"/>
          <w:lang w:eastAsia="zh-TW"/>
        </w:rPr>
        <w:t>（</w:t>
      </w:r>
      <w:r w:rsidR="00AE2622">
        <w:rPr>
          <w:rFonts w:eastAsia="標楷體" w:hint="eastAsia"/>
          <w:lang w:eastAsia="zh-TW"/>
        </w:rPr>
        <w:t>10</w:t>
      </w:r>
      <w:r w:rsidR="00BB5755" w:rsidRPr="001758F7">
        <w:rPr>
          <w:rFonts w:eastAsia="標楷體"/>
          <w:lang w:eastAsia="zh-TW"/>
        </w:rPr>
        <w:t>%</w:t>
      </w:r>
      <w:r w:rsidR="00BB5755" w:rsidRPr="001758F7">
        <w:rPr>
          <w:rFonts w:eastAsia="標楷體"/>
          <w:lang w:eastAsia="zh-TW"/>
        </w:rPr>
        <w:t>）</w:t>
      </w:r>
      <w:r w:rsidR="004048F5" w:rsidRPr="001758F7">
        <w:rPr>
          <w:rFonts w:eastAsia="標楷體"/>
          <w:lang w:eastAsia="zh-TW"/>
        </w:rPr>
        <w:t>。</w:t>
      </w:r>
    </w:p>
    <w:p w14:paraId="0E91C5D1" w14:textId="4EC07565" w:rsidR="001337FD" w:rsidRPr="001758F7" w:rsidRDefault="00BF4704" w:rsidP="00FA0D58">
      <w:pPr>
        <w:pStyle w:val="a8"/>
        <w:numPr>
          <w:ilvl w:val="0"/>
          <w:numId w:val="7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兩篇</w:t>
      </w:r>
      <w:r w:rsidR="00BB5755" w:rsidRPr="001758F7">
        <w:rPr>
          <w:rFonts w:eastAsia="標楷體"/>
          <w:lang w:eastAsia="zh-TW"/>
        </w:rPr>
        <w:t>議題報告（</w:t>
      </w:r>
      <w:r w:rsidR="00454411">
        <w:rPr>
          <w:rFonts w:eastAsia="標楷體" w:hint="eastAsia"/>
          <w:lang w:eastAsia="zh-TW"/>
        </w:rPr>
        <w:t>20</w:t>
      </w:r>
      <w:r w:rsidR="00BB5755" w:rsidRPr="001758F7">
        <w:rPr>
          <w:rFonts w:eastAsia="標楷體"/>
          <w:lang w:eastAsia="zh-TW"/>
        </w:rPr>
        <w:t>%</w:t>
      </w:r>
      <w:r w:rsidR="00BB5755" w:rsidRPr="001758F7">
        <w:rPr>
          <w:rFonts w:eastAsia="標楷體"/>
          <w:lang w:eastAsia="zh-TW"/>
        </w:rPr>
        <w:t>）。</w:t>
      </w:r>
    </w:p>
    <w:p w14:paraId="1CF6EDF2" w14:textId="2FCE1B4F" w:rsidR="001337FD" w:rsidRPr="001758F7" w:rsidRDefault="00F465A2" w:rsidP="00FA0D58">
      <w:pPr>
        <w:pStyle w:val="a8"/>
        <w:numPr>
          <w:ilvl w:val="0"/>
          <w:numId w:val="7"/>
        </w:numPr>
        <w:spacing w:line="276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2020</w:t>
      </w:r>
      <w:r>
        <w:rPr>
          <w:rFonts w:eastAsia="標楷體"/>
          <w:lang w:eastAsia="zh-TW"/>
        </w:rPr>
        <w:t>/3/</w:t>
      </w:r>
      <w:r w:rsidR="00A57031">
        <w:rPr>
          <w:rFonts w:eastAsia="標楷體"/>
          <w:lang w:eastAsia="zh-TW"/>
        </w:rPr>
        <w:t>20</w:t>
      </w:r>
      <w:r w:rsidR="004048F5" w:rsidRPr="001758F7">
        <w:rPr>
          <w:rFonts w:eastAsia="標楷體"/>
          <w:lang w:eastAsia="zh-TW"/>
        </w:rPr>
        <w:t>繳交初步</w:t>
      </w:r>
      <w:r w:rsidR="00DE4D26" w:rsidRPr="001758F7">
        <w:rPr>
          <w:rFonts w:eastAsia="標楷體"/>
          <w:lang w:eastAsia="zh-TW"/>
        </w:rPr>
        <w:t>研究</w:t>
      </w:r>
      <w:r w:rsidR="00BB5755" w:rsidRPr="001758F7">
        <w:rPr>
          <w:rFonts w:eastAsia="標楷體"/>
          <w:lang w:eastAsia="zh-TW"/>
        </w:rPr>
        <w:t>問題（</w:t>
      </w:r>
      <w:r w:rsidR="00345858" w:rsidRPr="001758F7">
        <w:rPr>
          <w:rFonts w:eastAsia="標楷體"/>
          <w:lang w:eastAsia="zh-TW"/>
        </w:rPr>
        <w:t>不計分</w:t>
      </w:r>
      <w:r w:rsidR="00BB5755" w:rsidRPr="001758F7">
        <w:rPr>
          <w:rFonts w:eastAsia="標楷體"/>
          <w:lang w:eastAsia="zh-TW"/>
        </w:rPr>
        <w:t>）。</w:t>
      </w:r>
    </w:p>
    <w:p w14:paraId="45F5DB88" w14:textId="3E082578" w:rsidR="001337FD" w:rsidRPr="001758F7" w:rsidRDefault="00F465A2" w:rsidP="00FA0D58">
      <w:pPr>
        <w:pStyle w:val="a8"/>
        <w:numPr>
          <w:ilvl w:val="0"/>
          <w:numId w:val="7"/>
        </w:numPr>
        <w:spacing w:line="276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2020</w:t>
      </w:r>
      <w:r>
        <w:rPr>
          <w:rFonts w:eastAsia="標楷體"/>
          <w:lang w:eastAsia="zh-TW"/>
        </w:rPr>
        <w:t>/4/10</w:t>
      </w:r>
      <w:r w:rsidR="004048F5" w:rsidRPr="001758F7">
        <w:rPr>
          <w:rFonts w:eastAsia="標楷體"/>
          <w:lang w:eastAsia="zh-TW"/>
        </w:rPr>
        <w:t>繳交</w:t>
      </w:r>
      <w:r w:rsidR="00BB5755" w:rsidRPr="001758F7">
        <w:rPr>
          <w:rFonts w:eastAsia="標楷體"/>
          <w:lang w:eastAsia="zh-TW"/>
        </w:rPr>
        <w:t>文獻回顧（</w:t>
      </w:r>
      <w:r w:rsidR="00BB5755" w:rsidRPr="001758F7">
        <w:rPr>
          <w:rFonts w:eastAsia="標楷體"/>
          <w:lang w:eastAsia="zh-TW"/>
        </w:rPr>
        <w:t>1</w:t>
      </w:r>
      <w:r w:rsidR="00454411">
        <w:rPr>
          <w:rFonts w:eastAsia="標楷體" w:hint="eastAsia"/>
          <w:lang w:eastAsia="zh-TW"/>
        </w:rPr>
        <w:t>5</w:t>
      </w:r>
      <w:r w:rsidR="00BB5755" w:rsidRPr="001758F7">
        <w:rPr>
          <w:rFonts w:eastAsia="標楷體"/>
          <w:lang w:eastAsia="zh-TW"/>
        </w:rPr>
        <w:t>%</w:t>
      </w:r>
      <w:r w:rsidR="00BB5755" w:rsidRPr="001758F7">
        <w:rPr>
          <w:rFonts w:eastAsia="標楷體"/>
          <w:lang w:eastAsia="zh-TW"/>
        </w:rPr>
        <w:t>）。</w:t>
      </w:r>
    </w:p>
    <w:p w14:paraId="50F4C547" w14:textId="3E6DFDF2" w:rsidR="001337FD" w:rsidRPr="001758F7" w:rsidRDefault="00F465A2" w:rsidP="00FA0D58">
      <w:pPr>
        <w:pStyle w:val="a8"/>
        <w:numPr>
          <w:ilvl w:val="0"/>
          <w:numId w:val="7"/>
        </w:numPr>
        <w:spacing w:line="276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2</w:t>
      </w:r>
      <w:r>
        <w:rPr>
          <w:rFonts w:eastAsia="標楷體"/>
          <w:lang w:eastAsia="zh-TW"/>
        </w:rPr>
        <w:t>020/5/</w:t>
      </w:r>
      <w:r w:rsidR="00501F5F">
        <w:rPr>
          <w:rFonts w:eastAsia="標楷體" w:hint="eastAsia"/>
          <w:lang w:eastAsia="zh-TW"/>
        </w:rPr>
        <w:t>22</w:t>
      </w:r>
      <w:r w:rsidR="004048F5" w:rsidRPr="001758F7">
        <w:rPr>
          <w:rFonts w:eastAsia="標楷體"/>
          <w:lang w:eastAsia="zh-TW"/>
        </w:rPr>
        <w:t>繳交</w:t>
      </w:r>
      <w:r w:rsidR="00BB5755" w:rsidRPr="001758F7">
        <w:rPr>
          <w:rFonts w:eastAsia="標楷體"/>
          <w:lang w:eastAsia="zh-TW"/>
        </w:rPr>
        <w:t>研究計畫草稿（</w:t>
      </w:r>
      <w:r w:rsidR="00BB5755" w:rsidRPr="001758F7">
        <w:rPr>
          <w:rFonts w:eastAsia="標楷體"/>
          <w:lang w:eastAsia="zh-TW"/>
        </w:rPr>
        <w:t>1</w:t>
      </w:r>
      <w:r w:rsidR="00AE2622">
        <w:rPr>
          <w:rFonts w:eastAsia="標楷體" w:hint="eastAsia"/>
          <w:lang w:eastAsia="zh-TW"/>
        </w:rPr>
        <w:t>0</w:t>
      </w:r>
      <w:r w:rsidR="00BB5755" w:rsidRPr="001758F7">
        <w:rPr>
          <w:rFonts w:eastAsia="標楷體"/>
          <w:lang w:eastAsia="zh-TW"/>
        </w:rPr>
        <w:t>%</w:t>
      </w:r>
      <w:r w:rsidR="00BB5755" w:rsidRPr="001758F7">
        <w:rPr>
          <w:rFonts w:eastAsia="標楷體"/>
          <w:lang w:eastAsia="zh-TW"/>
        </w:rPr>
        <w:t>）</w:t>
      </w:r>
      <w:r w:rsidR="004048F5" w:rsidRPr="001758F7"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2</w:t>
      </w:r>
      <w:r>
        <w:rPr>
          <w:rFonts w:eastAsia="標楷體"/>
          <w:lang w:eastAsia="zh-TW"/>
        </w:rPr>
        <w:t>020/6/</w:t>
      </w:r>
      <w:r w:rsidR="00501F5F">
        <w:rPr>
          <w:rFonts w:eastAsia="標楷體" w:hint="eastAsia"/>
          <w:lang w:eastAsia="zh-TW"/>
        </w:rPr>
        <w:t>22</w:t>
      </w:r>
      <w:r w:rsidR="004048F5" w:rsidRPr="001758F7">
        <w:rPr>
          <w:rFonts w:eastAsia="標楷體"/>
          <w:lang w:eastAsia="zh-TW"/>
        </w:rPr>
        <w:t>繳交</w:t>
      </w:r>
      <w:r w:rsidR="00BB5755" w:rsidRPr="001758F7">
        <w:rPr>
          <w:rFonts w:eastAsia="標楷體"/>
          <w:lang w:eastAsia="zh-TW"/>
        </w:rPr>
        <w:t>完稿（</w:t>
      </w:r>
      <w:r w:rsidR="00BB5755" w:rsidRPr="001758F7">
        <w:rPr>
          <w:rFonts w:eastAsia="標楷體"/>
          <w:lang w:eastAsia="zh-TW"/>
        </w:rPr>
        <w:t>25%</w:t>
      </w:r>
      <w:r w:rsidR="00BB5755" w:rsidRPr="001758F7">
        <w:rPr>
          <w:rFonts w:eastAsia="標楷體"/>
          <w:lang w:eastAsia="zh-TW"/>
        </w:rPr>
        <w:t>）。</w:t>
      </w:r>
    </w:p>
    <w:p w14:paraId="253F95F3" w14:textId="330E9FB6" w:rsidR="00BB5755" w:rsidRPr="001758F7" w:rsidRDefault="00F465A2" w:rsidP="00FA0D58">
      <w:pPr>
        <w:pStyle w:val="a8"/>
        <w:numPr>
          <w:ilvl w:val="0"/>
          <w:numId w:val="7"/>
        </w:numPr>
        <w:spacing w:line="276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2</w:t>
      </w:r>
      <w:r>
        <w:rPr>
          <w:rFonts w:eastAsia="標楷體"/>
          <w:lang w:eastAsia="zh-TW"/>
        </w:rPr>
        <w:t>020/</w:t>
      </w:r>
      <w:r w:rsidR="00501F5F">
        <w:rPr>
          <w:rFonts w:eastAsia="標楷體" w:hint="eastAsia"/>
          <w:lang w:eastAsia="zh-TW"/>
        </w:rPr>
        <w:t>6</w:t>
      </w:r>
      <w:r>
        <w:rPr>
          <w:rFonts w:eastAsia="標楷體"/>
          <w:lang w:eastAsia="zh-TW"/>
        </w:rPr>
        <w:t>/</w:t>
      </w:r>
      <w:r w:rsidR="00501F5F">
        <w:rPr>
          <w:rFonts w:eastAsia="標楷體" w:hint="eastAsia"/>
          <w:lang w:eastAsia="zh-TW"/>
        </w:rPr>
        <w:t>5</w:t>
      </w:r>
      <w:r>
        <w:rPr>
          <w:rFonts w:eastAsia="標楷體" w:hint="eastAsia"/>
          <w:lang w:eastAsia="zh-TW"/>
        </w:rPr>
        <w:t>與</w:t>
      </w:r>
      <w:r>
        <w:rPr>
          <w:rFonts w:eastAsia="標楷體" w:hint="eastAsia"/>
          <w:lang w:eastAsia="zh-TW"/>
        </w:rPr>
        <w:t>2</w:t>
      </w:r>
      <w:r>
        <w:rPr>
          <w:rFonts w:eastAsia="標楷體"/>
          <w:lang w:eastAsia="zh-TW"/>
        </w:rPr>
        <w:t>020/</w:t>
      </w:r>
      <w:r>
        <w:rPr>
          <w:rFonts w:eastAsia="標楷體" w:hint="eastAsia"/>
          <w:lang w:eastAsia="zh-TW"/>
        </w:rPr>
        <w:t>6</w:t>
      </w:r>
      <w:r>
        <w:rPr>
          <w:rFonts w:eastAsia="標楷體"/>
          <w:lang w:eastAsia="zh-TW"/>
        </w:rPr>
        <w:t>/</w:t>
      </w:r>
      <w:r w:rsidR="00501F5F">
        <w:rPr>
          <w:rFonts w:eastAsia="標楷體" w:hint="eastAsia"/>
          <w:lang w:eastAsia="zh-TW"/>
        </w:rPr>
        <w:t>12</w:t>
      </w:r>
      <w:r w:rsidR="00BB5755" w:rsidRPr="001758F7">
        <w:rPr>
          <w:rFonts w:eastAsia="標楷體"/>
          <w:lang w:eastAsia="zh-TW"/>
        </w:rPr>
        <w:t>口頭報告計畫初稿（</w:t>
      </w:r>
      <w:r w:rsidR="00BB5755" w:rsidRPr="001758F7">
        <w:rPr>
          <w:rFonts w:eastAsia="標楷體"/>
          <w:lang w:eastAsia="zh-TW"/>
        </w:rPr>
        <w:t>15%</w:t>
      </w:r>
      <w:r w:rsidR="00BB5755" w:rsidRPr="001758F7">
        <w:rPr>
          <w:rFonts w:eastAsia="標楷體"/>
          <w:lang w:eastAsia="zh-TW"/>
        </w:rPr>
        <w:t>），同儕</w:t>
      </w:r>
      <w:r w:rsidR="006518C6" w:rsidRPr="001758F7">
        <w:rPr>
          <w:rFonts w:eastAsia="標楷體"/>
          <w:lang w:eastAsia="zh-TW"/>
        </w:rPr>
        <w:t>提供</w:t>
      </w:r>
      <w:r w:rsidR="00BB5755" w:rsidRPr="001758F7">
        <w:rPr>
          <w:rFonts w:eastAsia="標楷體"/>
          <w:lang w:eastAsia="zh-TW"/>
        </w:rPr>
        <w:t>評論與建議（</w:t>
      </w:r>
      <w:r w:rsidR="00BB5755" w:rsidRPr="001758F7">
        <w:rPr>
          <w:rFonts w:eastAsia="標楷體"/>
          <w:lang w:eastAsia="zh-TW"/>
        </w:rPr>
        <w:t>5%</w:t>
      </w:r>
      <w:r w:rsidR="00BB5755" w:rsidRPr="001758F7">
        <w:rPr>
          <w:rFonts w:eastAsia="標楷體"/>
          <w:lang w:eastAsia="zh-TW"/>
        </w:rPr>
        <w:t>）。</w:t>
      </w:r>
    </w:p>
    <w:p w14:paraId="1248837C" w14:textId="3E81D04F" w:rsidR="000E7EE8" w:rsidRPr="001758F7" w:rsidRDefault="00D212B0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  <w:r w:rsidRPr="001758F7">
        <w:rPr>
          <w:rFonts w:ascii="Times New Roman" w:eastAsia="標楷體" w:hAnsi="Times New Roman" w:cs="Times New Roman"/>
        </w:rPr>
        <w:t>所有</w:t>
      </w:r>
      <w:r w:rsidR="00FD7746" w:rsidRPr="001758F7">
        <w:rPr>
          <w:rFonts w:ascii="Times New Roman" w:eastAsia="標楷體" w:hAnsi="Times New Roman" w:cs="Times New Roman"/>
        </w:rPr>
        <w:t>書面</w:t>
      </w:r>
      <w:r w:rsidRPr="001758F7">
        <w:rPr>
          <w:rFonts w:ascii="Times New Roman" w:eastAsia="標楷體" w:hAnsi="Times New Roman" w:cs="Times New Roman"/>
        </w:rPr>
        <w:t>報告</w:t>
      </w:r>
      <w:r w:rsidR="009B2E65" w:rsidRPr="001758F7">
        <w:rPr>
          <w:rFonts w:ascii="Times New Roman" w:eastAsia="標楷體" w:hAnsi="Times New Roman" w:cs="Times New Roman"/>
        </w:rPr>
        <w:t>的具體要求將於課堂中發放，報告與</w:t>
      </w:r>
      <w:proofErr w:type="gramStart"/>
      <w:r w:rsidR="009B2E65" w:rsidRPr="001758F7">
        <w:rPr>
          <w:rFonts w:ascii="Times New Roman" w:eastAsia="標楷體" w:hAnsi="Times New Roman" w:cs="Times New Roman"/>
        </w:rPr>
        <w:t>作業</w:t>
      </w:r>
      <w:r w:rsidRPr="001758F7">
        <w:rPr>
          <w:rFonts w:ascii="Times New Roman" w:eastAsia="標楷體" w:hAnsi="Times New Roman" w:cs="Times New Roman"/>
        </w:rPr>
        <w:t>均於</w:t>
      </w:r>
      <w:proofErr w:type="gramEnd"/>
      <w:r w:rsidRPr="001758F7">
        <w:rPr>
          <w:rFonts w:ascii="Times New Roman" w:eastAsia="標楷體" w:hAnsi="Times New Roman" w:cs="Times New Roman"/>
        </w:rPr>
        <w:t>Ceiba</w:t>
      </w:r>
      <w:r w:rsidRPr="001758F7">
        <w:rPr>
          <w:rFonts w:ascii="Times New Roman" w:eastAsia="標楷體" w:hAnsi="Times New Roman" w:cs="Times New Roman"/>
        </w:rPr>
        <w:t>上繳交，授課教師</w:t>
      </w:r>
      <w:r w:rsidR="009B2E65" w:rsidRPr="001758F7">
        <w:rPr>
          <w:rFonts w:ascii="Times New Roman" w:eastAsia="標楷體" w:hAnsi="Times New Roman" w:cs="Times New Roman"/>
        </w:rPr>
        <w:t>將</w:t>
      </w:r>
      <w:r w:rsidRPr="001758F7">
        <w:rPr>
          <w:rFonts w:ascii="Times New Roman" w:eastAsia="標楷體" w:hAnsi="Times New Roman" w:cs="Times New Roman"/>
        </w:rPr>
        <w:t>於一至兩</w:t>
      </w:r>
      <w:proofErr w:type="gramStart"/>
      <w:r w:rsidR="00935F3C" w:rsidRPr="001758F7">
        <w:rPr>
          <w:rFonts w:ascii="Times New Roman" w:eastAsia="標楷體" w:hAnsi="Times New Roman" w:cs="Times New Roman"/>
        </w:rPr>
        <w:t>週</w:t>
      </w:r>
      <w:proofErr w:type="gramEnd"/>
      <w:r w:rsidRPr="001758F7">
        <w:rPr>
          <w:rFonts w:ascii="Times New Roman" w:eastAsia="標楷體" w:hAnsi="Times New Roman" w:cs="Times New Roman"/>
        </w:rPr>
        <w:t>內發還並提供評語。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A2A88" w:rsidRPr="009A2A88" w14:paraId="02E81FC7" w14:textId="77777777" w:rsidTr="007F49FA">
        <w:tc>
          <w:tcPr>
            <w:tcW w:w="2157" w:type="dxa"/>
          </w:tcPr>
          <w:p w14:paraId="01F94AC2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0-60</w:t>
            </w:r>
          </w:p>
        </w:tc>
        <w:tc>
          <w:tcPr>
            <w:tcW w:w="2157" w:type="dxa"/>
          </w:tcPr>
          <w:p w14:paraId="53B5A388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E</w:t>
            </w:r>
          </w:p>
        </w:tc>
        <w:tc>
          <w:tcPr>
            <w:tcW w:w="2158" w:type="dxa"/>
          </w:tcPr>
          <w:p w14:paraId="7A4F74F1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77-79</w:t>
            </w:r>
          </w:p>
        </w:tc>
        <w:tc>
          <w:tcPr>
            <w:tcW w:w="2158" w:type="dxa"/>
          </w:tcPr>
          <w:p w14:paraId="55463EE8" w14:textId="0C22D3AF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C727BD">
              <w:rPr>
                <w:rFonts w:eastAsia="新細明體" w:hint="eastAsia"/>
                <w:sz w:val="24"/>
                <w:szCs w:val="24"/>
                <w:lang w:eastAsia="zh-TW"/>
              </w:rPr>
              <w:t>B-</w:t>
            </w:r>
          </w:p>
        </w:tc>
      </w:tr>
      <w:tr w:rsidR="009A2A88" w:rsidRPr="009A2A88" w14:paraId="4C23FD90" w14:textId="77777777" w:rsidTr="007F49FA">
        <w:tc>
          <w:tcPr>
            <w:tcW w:w="2157" w:type="dxa"/>
          </w:tcPr>
          <w:p w14:paraId="1E17D270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60-62</w:t>
            </w:r>
          </w:p>
        </w:tc>
        <w:tc>
          <w:tcPr>
            <w:tcW w:w="2157" w:type="dxa"/>
          </w:tcPr>
          <w:p w14:paraId="12F0CE90" w14:textId="1170BA91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D</w:t>
            </w:r>
          </w:p>
        </w:tc>
        <w:tc>
          <w:tcPr>
            <w:tcW w:w="2158" w:type="dxa"/>
          </w:tcPr>
          <w:p w14:paraId="3B311373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80-82</w:t>
            </w:r>
          </w:p>
        </w:tc>
        <w:tc>
          <w:tcPr>
            <w:tcW w:w="2158" w:type="dxa"/>
          </w:tcPr>
          <w:p w14:paraId="64C3F1E6" w14:textId="3CD1E78C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B</w:t>
            </w:r>
          </w:p>
        </w:tc>
      </w:tr>
      <w:tr w:rsidR="009A2A88" w:rsidRPr="009A2A88" w14:paraId="25B5BD97" w14:textId="77777777" w:rsidTr="007F49FA">
        <w:tc>
          <w:tcPr>
            <w:tcW w:w="2157" w:type="dxa"/>
          </w:tcPr>
          <w:p w14:paraId="1BC36491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63-66</w:t>
            </w:r>
          </w:p>
        </w:tc>
        <w:tc>
          <w:tcPr>
            <w:tcW w:w="2157" w:type="dxa"/>
          </w:tcPr>
          <w:p w14:paraId="31F5CDB1" w14:textId="695588DF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D</w:t>
            </w:r>
            <w:r w:rsidR="00C727BD">
              <w:rPr>
                <w:rFonts w:eastAsia="新細明體" w:hint="eastAsia"/>
                <w:sz w:val="24"/>
                <w:szCs w:val="24"/>
                <w:lang w:eastAsia="zh-TW"/>
              </w:rPr>
              <w:t>+</w:t>
            </w:r>
          </w:p>
        </w:tc>
        <w:tc>
          <w:tcPr>
            <w:tcW w:w="2158" w:type="dxa"/>
          </w:tcPr>
          <w:p w14:paraId="3DE0CFED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83-86</w:t>
            </w:r>
          </w:p>
        </w:tc>
        <w:tc>
          <w:tcPr>
            <w:tcW w:w="2158" w:type="dxa"/>
          </w:tcPr>
          <w:p w14:paraId="74957BA7" w14:textId="07C8C8F4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B</w:t>
            </w:r>
            <w:r w:rsidRPr="00C727BD">
              <w:rPr>
                <w:rFonts w:eastAsia="新細明體" w:hint="eastAsia"/>
                <w:sz w:val="24"/>
                <w:szCs w:val="24"/>
                <w:lang w:eastAsia="zh-TW"/>
              </w:rPr>
              <w:t>+</w:t>
            </w:r>
          </w:p>
        </w:tc>
      </w:tr>
      <w:tr w:rsidR="009A2A88" w:rsidRPr="009A2A88" w14:paraId="231DB28F" w14:textId="77777777" w:rsidTr="007F49FA">
        <w:tc>
          <w:tcPr>
            <w:tcW w:w="2157" w:type="dxa"/>
          </w:tcPr>
          <w:p w14:paraId="48371083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67-69</w:t>
            </w:r>
          </w:p>
        </w:tc>
        <w:tc>
          <w:tcPr>
            <w:tcW w:w="2157" w:type="dxa"/>
          </w:tcPr>
          <w:p w14:paraId="03815673" w14:textId="34883B3E" w:rsidR="009A2A88" w:rsidRPr="009A2A88" w:rsidRDefault="00C727BD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C-</w:t>
            </w:r>
          </w:p>
        </w:tc>
        <w:tc>
          <w:tcPr>
            <w:tcW w:w="2158" w:type="dxa"/>
          </w:tcPr>
          <w:p w14:paraId="13DE19A0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87-89</w:t>
            </w:r>
          </w:p>
        </w:tc>
        <w:tc>
          <w:tcPr>
            <w:tcW w:w="2158" w:type="dxa"/>
          </w:tcPr>
          <w:p w14:paraId="4A89CA2B" w14:textId="20C02E9C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C727BD">
              <w:rPr>
                <w:rFonts w:eastAsia="新細明體" w:hint="eastAsia"/>
                <w:sz w:val="24"/>
                <w:szCs w:val="24"/>
                <w:lang w:eastAsia="zh-TW"/>
              </w:rPr>
              <w:t>A-</w:t>
            </w:r>
          </w:p>
        </w:tc>
      </w:tr>
      <w:tr w:rsidR="009A2A88" w:rsidRPr="009A2A88" w14:paraId="4295F8E3" w14:textId="77777777" w:rsidTr="007F49FA">
        <w:tc>
          <w:tcPr>
            <w:tcW w:w="2157" w:type="dxa"/>
          </w:tcPr>
          <w:p w14:paraId="4557D0BF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70-72</w:t>
            </w:r>
          </w:p>
        </w:tc>
        <w:tc>
          <w:tcPr>
            <w:tcW w:w="2157" w:type="dxa"/>
          </w:tcPr>
          <w:p w14:paraId="54EFFD16" w14:textId="2F000C3E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C</w:t>
            </w:r>
          </w:p>
        </w:tc>
        <w:tc>
          <w:tcPr>
            <w:tcW w:w="2158" w:type="dxa"/>
          </w:tcPr>
          <w:p w14:paraId="15CD1CB2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90-92</w:t>
            </w:r>
          </w:p>
        </w:tc>
        <w:tc>
          <w:tcPr>
            <w:tcW w:w="2158" w:type="dxa"/>
          </w:tcPr>
          <w:p w14:paraId="78D29B1F" w14:textId="5F0BDBB4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A</w:t>
            </w:r>
          </w:p>
        </w:tc>
      </w:tr>
      <w:tr w:rsidR="009A2A88" w:rsidRPr="009A2A88" w14:paraId="3E6EA556" w14:textId="77777777" w:rsidTr="007F49FA">
        <w:tc>
          <w:tcPr>
            <w:tcW w:w="2157" w:type="dxa"/>
          </w:tcPr>
          <w:p w14:paraId="0E79E36D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73-76</w:t>
            </w:r>
          </w:p>
        </w:tc>
        <w:tc>
          <w:tcPr>
            <w:tcW w:w="2157" w:type="dxa"/>
          </w:tcPr>
          <w:p w14:paraId="75168098" w14:textId="2290FB29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C</w:t>
            </w:r>
            <w:r w:rsidR="00C727BD">
              <w:rPr>
                <w:rFonts w:eastAsia="新細明體" w:hint="eastAsia"/>
                <w:sz w:val="24"/>
                <w:szCs w:val="24"/>
                <w:lang w:eastAsia="zh-TW"/>
              </w:rPr>
              <w:t>+</w:t>
            </w:r>
          </w:p>
        </w:tc>
        <w:tc>
          <w:tcPr>
            <w:tcW w:w="2158" w:type="dxa"/>
          </w:tcPr>
          <w:p w14:paraId="7B5049AA" w14:textId="77777777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93-100</w:t>
            </w:r>
          </w:p>
        </w:tc>
        <w:tc>
          <w:tcPr>
            <w:tcW w:w="2158" w:type="dxa"/>
          </w:tcPr>
          <w:p w14:paraId="5227081A" w14:textId="656B4390" w:rsidR="009A2A88" w:rsidRPr="009A2A88" w:rsidRDefault="009A2A88" w:rsidP="009A2A88">
            <w:pPr>
              <w:widowControl/>
              <w:rPr>
                <w:rFonts w:eastAsia="新細明體"/>
                <w:sz w:val="24"/>
                <w:szCs w:val="24"/>
              </w:rPr>
            </w:pPr>
            <w:r w:rsidRPr="009A2A88">
              <w:rPr>
                <w:rFonts w:eastAsia="新細明體"/>
                <w:sz w:val="24"/>
                <w:szCs w:val="24"/>
              </w:rPr>
              <w:t>A</w:t>
            </w:r>
            <w:r w:rsidRPr="00C727BD">
              <w:rPr>
                <w:rFonts w:eastAsia="新細明體" w:hint="eastAsia"/>
                <w:sz w:val="24"/>
                <w:szCs w:val="24"/>
                <w:lang w:eastAsia="zh-TW"/>
              </w:rPr>
              <w:t>+</w:t>
            </w:r>
          </w:p>
        </w:tc>
      </w:tr>
    </w:tbl>
    <w:p w14:paraId="37033041" w14:textId="77777777" w:rsidR="006F0502" w:rsidRPr="001758F7" w:rsidRDefault="006F0502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7447FBDE" w14:textId="2B5D6C1B" w:rsidR="00952301" w:rsidRPr="001758F7" w:rsidRDefault="00F95866" w:rsidP="00FA0D58">
      <w:pPr>
        <w:spacing w:line="276" w:lineRule="auto"/>
        <w:jc w:val="both"/>
        <w:rPr>
          <w:rFonts w:ascii="Times New Roman" w:eastAsia="標楷體" w:hAnsi="Times New Roman" w:cs="Times New Roman"/>
          <w:b/>
          <w:bCs/>
        </w:rPr>
      </w:pPr>
      <w:r w:rsidRPr="001758F7">
        <w:rPr>
          <w:rFonts w:ascii="Times New Roman" w:eastAsia="標楷體" w:hAnsi="Times New Roman" w:cs="Times New Roman"/>
          <w:b/>
          <w:bCs/>
        </w:rPr>
        <w:t>五</w:t>
      </w:r>
      <w:r w:rsidR="000E7EE8" w:rsidRPr="001758F7">
        <w:rPr>
          <w:rFonts w:ascii="Times New Roman" w:eastAsia="標楷體" w:hAnsi="Times New Roman" w:cs="Times New Roman"/>
          <w:b/>
          <w:bCs/>
        </w:rPr>
        <w:t>、</w:t>
      </w:r>
      <w:r w:rsidR="006A417A">
        <w:rPr>
          <w:rFonts w:ascii="Times New Roman" w:eastAsia="標楷體" w:hAnsi="Times New Roman" w:cs="Times New Roman" w:hint="eastAsia"/>
          <w:b/>
          <w:bCs/>
        </w:rPr>
        <w:t>指定閱讀</w:t>
      </w:r>
    </w:p>
    <w:p w14:paraId="1952C6ED" w14:textId="033C9637" w:rsidR="001337FD" w:rsidRPr="001758F7" w:rsidRDefault="00FE47E4" w:rsidP="00FA0D58">
      <w:pPr>
        <w:pStyle w:val="a8"/>
        <w:numPr>
          <w:ilvl w:val="0"/>
          <w:numId w:val="5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 xml:space="preserve">, </w:t>
      </w:r>
      <w:r w:rsidRPr="001758F7">
        <w:rPr>
          <w:rFonts w:eastAsia="標楷體"/>
          <w:i/>
          <w:iCs/>
        </w:rPr>
        <w:t>Social Science Methodology: A Unified Framework</w:t>
      </w:r>
      <w:r w:rsidRPr="001758F7">
        <w:rPr>
          <w:rFonts w:eastAsia="標楷體"/>
        </w:rPr>
        <w:t>, (Cambridge; New York: Cambridge University Press, 2012)</w:t>
      </w:r>
      <w:r w:rsidR="00EF138F" w:rsidRPr="001758F7">
        <w:rPr>
          <w:rFonts w:eastAsia="標楷體"/>
          <w:lang w:eastAsia="zh-TW"/>
        </w:rPr>
        <w:t>.</w:t>
      </w:r>
      <w:r w:rsidR="00CE3481" w:rsidRPr="001758F7">
        <w:rPr>
          <w:rFonts w:eastAsia="標楷體"/>
          <w:lang w:eastAsia="zh-TW"/>
        </w:rPr>
        <w:t>（可於臺大總圖書館借閱）</w:t>
      </w:r>
    </w:p>
    <w:p w14:paraId="4AA899A3" w14:textId="21D29AE8" w:rsidR="00C808BD" w:rsidRDefault="00952301" w:rsidP="00FA0D58">
      <w:pPr>
        <w:pStyle w:val="a8"/>
        <w:numPr>
          <w:ilvl w:val="0"/>
          <w:numId w:val="5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彭明輝，</w:t>
      </w:r>
      <w:proofErr w:type="gramStart"/>
      <w:r w:rsidRPr="001758F7">
        <w:rPr>
          <w:rFonts w:eastAsia="標楷體"/>
          <w:lang w:eastAsia="zh-TW"/>
        </w:rPr>
        <w:t>《</w:t>
      </w:r>
      <w:proofErr w:type="gramEnd"/>
      <w:r w:rsidRPr="001758F7">
        <w:rPr>
          <w:rFonts w:eastAsia="標楷體"/>
          <w:lang w:eastAsia="zh-TW"/>
        </w:rPr>
        <w:t>研究生完全求生手冊：方法、秘訣、潛規則</w:t>
      </w:r>
      <w:proofErr w:type="gramStart"/>
      <w:r w:rsidRPr="001758F7">
        <w:rPr>
          <w:rFonts w:eastAsia="標楷體"/>
          <w:lang w:eastAsia="zh-TW"/>
        </w:rPr>
        <w:t>》</w:t>
      </w:r>
      <w:proofErr w:type="gramEnd"/>
      <w:r w:rsidRPr="001758F7">
        <w:rPr>
          <w:rFonts w:eastAsia="標楷體"/>
          <w:lang w:eastAsia="zh-TW"/>
        </w:rPr>
        <w:t>，</w:t>
      </w:r>
      <w:proofErr w:type="gramStart"/>
      <w:r w:rsidRPr="001758F7">
        <w:rPr>
          <w:rFonts w:eastAsia="標楷體"/>
          <w:lang w:eastAsia="zh-TW"/>
        </w:rPr>
        <w:t>（臺</w:t>
      </w:r>
      <w:proofErr w:type="gramEnd"/>
      <w:r w:rsidRPr="001758F7">
        <w:rPr>
          <w:rFonts w:eastAsia="標楷體"/>
          <w:lang w:eastAsia="zh-TW"/>
        </w:rPr>
        <w:t>北：聯經出版公司，</w:t>
      </w:r>
      <w:r w:rsidRPr="001758F7">
        <w:rPr>
          <w:rFonts w:eastAsia="標楷體"/>
          <w:lang w:eastAsia="zh-TW"/>
        </w:rPr>
        <w:t>2017</w:t>
      </w:r>
      <w:proofErr w:type="gramStart"/>
      <w:r w:rsidRPr="001758F7">
        <w:rPr>
          <w:rFonts w:eastAsia="標楷體"/>
          <w:lang w:eastAsia="zh-TW"/>
        </w:rPr>
        <w:t>）</w:t>
      </w:r>
      <w:proofErr w:type="gramEnd"/>
      <w:r w:rsidR="00EF138F" w:rsidRPr="001758F7">
        <w:rPr>
          <w:rFonts w:eastAsia="標楷體"/>
          <w:lang w:eastAsia="zh-TW"/>
        </w:rPr>
        <w:t>。</w:t>
      </w:r>
      <w:r w:rsidR="000B2151" w:rsidRPr="001758F7">
        <w:rPr>
          <w:rFonts w:eastAsia="標楷體"/>
          <w:lang w:eastAsia="zh-TW"/>
        </w:rPr>
        <w:t>（</w:t>
      </w:r>
      <w:r w:rsidR="00BF2757">
        <w:rPr>
          <w:rFonts w:eastAsia="標楷體" w:hint="eastAsia"/>
          <w:lang w:eastAsia="zh-TW"/>
        </w:rPr>
        <w:t>本書</w:t>
      </w:r>
      <w:r w:rsidR="000B2151" w:rsidRPr="001758F7">
        <w:rPr>
          <w:rFonts w:eastAsia="標楷體"/>
          <w:lang w:eastAsia="zh-TW"/>
        </w:rPr>
        <w:t>旨在訓練</w:t>
      </w:r>
      <w:r w:rsidR="00545ACE" w:rsidRPr="001758F7">
        <w:rPr>
          <w:rFonts w:eastAsia="標楷體"/>
          <w:lang w:eastAsia="zh-TW"/>
        </w:rPr>
        <w:t>中文</w:t>
      </w:r>
      <w:r w:rsidR="000B2151" w:rsidRPr="001758F7">
        <w:rPr>
          <w:rFonts w:eastAsia="標楷體"/>
          <w:lang w:eastAsia="zh-TW"/>
        </w:rPr>
        <w:t>論文寫作技巧，無須對本書內容撰寫議題報告）</w:t>
      </w:r>
    </w:p>
    <w:p w14:paraId="379A030F" w14:textId="10ED7926" w:rsidR="00666035" w:rsidRPr="001758F7" w:rsidRDefault="00666035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4E9F717B" w14:textId="764C6E2D" w:rsidR="00D64025" w:rsidRPr="001758F7" w:rsidRDefault="00F95866" w:rsidP="00035387">
      <w:pPr>
        <w:widowControl/>
        <w:spacing w:line="276" w:lineRule="auto"/>
        <w:jc w:val="both"/>
        <w:rPr>
          <w:rFonts w:ascii="Times New Roman" w:eastAsia="標楷體" w:hAnsi="Times New Roman" w:cs="Times New Roman"/>
          <w:b/>
          <w:bCs/>
        </w:rPr>
      </w:pPr>
      <w:r w:rsidRPr="001758F7">
        <w:rPr>
          <w:rFonts w:ascii="Times New Roman" w:eastAsia="標楷體" w:hAnsi="Times New Roman" w:cs="Times New Roman"/>
          <w:b/>
          <w:bCs/>
        </w:rPr>
        <w:t>六</w:t>
      </w:r>
      <w:r w:rsidR="000E7EE8" w:rsidRPr="001758F7">
        <w:rPr>
          <w:rFonts w:ascii="Times New Roman" w:eastAsia="標楷體" w:hAnsi="Times New Roman" w:cs="Times New Roman"/>
          <w:b/>
          <w:bCs/>
        </w:rPr>
        <w:t>、課程進度</w:t>
      </w:r>
      <w:r w:rsidR="006A417A">
        <w:rPr>
          <w:rFonts w:ascii="Times New Roman" w:eastAsia="標楷體" w:hAnsi="Times New Roman" w:cs="Times New Roman" w:hint="eastAsia"/>
          <w:b/>
          <w:bCs/>
        </w:rPr>
        <w:t>與參考書目</w:t>
      </w:r>
    </w:p>
    <w:p w14:paraId="56038446" w14:textId="5CDAFA14" w:rsidR="008B0D73" w:rsidRDefault="008B0D73" w:rsidP="00013224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第一階段</w:t>
      </w:r>
    </w:p>
    <w:p w14:paraId="5A987592" w14:textId="59EC36EA" w:rsidR="00013224" w:rsidRPr="001758F7" w:rsidRDefault="004F0D5D" w:rsidP="00013224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/>
        </w:rPr>
        <w:t>20/2/21</w:t>
      </w:r>
      <w:r>
        <w:rPr>
          <w:rFonts w:ascii="Times New Roman" w:eastAsia="標楷體" w:hAnsi="Times New Roman" w:cs="Times New Roman" w:hint="eastAsia"/>
        </w:rPr>
        <w:t>，</w:t>
      </w:r>
      <w:r w:rsidR="00013224" w:rsidRPr="001758F7">
        <w:rPr>
          <w:rFonts w:ascii="Times New Roman" w:eastAsia="標楷體" w:hAnsi="Times New Roman" w:cs="Times New Roman"/>
        </w:rPr>
        <w:t>課程介紹</w:t>
      </w:r>
      <w:r w:rsidR="002E5350" w:rsidRPr="001758F7">
        <w:rPr>
          <w:rFonts w:ascii="Times New Roman" w:eastAsia="標楷體" w:hAnsi="Times New Roman" w:cs="Times New Roman"/>
        </w:rPr>
        <w:t>、</w:t>
      </w:r>
      <w:r w:rsidR="00013224" w:rsidRPr="001758F7">
        <w:rPr>
          <w:rFonts w:ascii="Times New Roman" w:eastAsia="標楷體" w:hAnsi="Times New Roman" w:cs="Times New Roman"/>
        </w:rPr>
        <w:t>分配文本</w:t>
      </w:r>
      <w:r w:rsidR="002E5350" w:rsidRPr="001758F7">
        <w:rPr>
          <w:rFonts w:ascii="Times New Roman" w:eastAsia="標楷體" w:hAnsi="Times New Roman" w:cs="Times New Roman"/>
        </w:rPr>
        <w:t>、了解同學研究興趣</w:t>
      </w:r>
    </w:p>
    <w:p w14:paraId="6797DABF" w14:textId="138E46A6" w:rsidR="00365028" w:rsidRPr="00365028" w:rsidRDefault="00365028" w:rsidP="00365028">
      <w:pPr>
        <w:pStyle w:val="a8"/>
        <w:numPr>
          <w:ilvl w:val="0"/>
          <w:numId w:val="20"/>
        </w:numPr>
        <w:spacing w:line="276" w:lineRule="auto"/>
        <w:rPr>
          <w:rFonts w:eastAsia="標楷體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>, Ch. 1</w:t>
      </w:r>
      <w:r w:rsidRPr="001758F7">
        <w:rPr>
          <w:rFonts w:eastAsia="標楷體"/>
          <w:lang w:eastAsia="zh-TW"/>
        </w:rPr>
        <w:t>:</w:t>
      </w:r>
      <w:r w:rsidRPr="001758F7">
        <w:rPr>
          <w:rFonts w:eastAsia="標楷體"/>
        </w:rPr>
        <w:t xml:space="preserve"> “A Unified Framework.”</w:t>
      </w:r>
    </w:p>
    <w:p w14:paraId="7610DA03" w14:textId="66E2F4E1" w:rsidR="00365028" w:rsidRPr="00365028" w:rsidRDefault="002E5350" w:rsidP="00EF138F">
      <w:pPr>
        <w:pStyle w:val="a8"/>
        <w:numPr>
          <w:ilvl w:val="0"/>
          <w:numId w:val="20"/>
        </w:numPr>
        <w:spacing w:line="276" w:lineRule="auto"/>
        <w:rPr>
          <w:rFonts w:eastAsia="標楷體"/>
          <w:lang w:eastAsia="zh-TW"/>
        </w:rPr>
      </w:pPr>
      <w:r w:rsidRPr="00365028">
        <w:rPr>
          <w:rFonts w:eastAsia="標楷體"/>
          <w:lang w:eastAsia="zh-TW"/>
        </w:rPr>
        <w:t>彭明輝，第</w:t>
      </w:r>
      <w:r w:rsidRPr="00365028">
        <w:rPr>
          <w:rFonts w:eastAsia="標楷體"/>
          <w:lang w:eastAsia="zh-TW"/>
        </w:rPr>
        <w:t>1</w:t>
      </w:r>
      <w:proofErr w:type="gramStart"/>
      <w:r w:rsidR="00D31224" w:rsidRPr="00365028">
        <w:rPr>
          <w:rFonts w:eastAsia="標楷體"/>
          <w:lang w:eastAsia="zh-TW"/>
        </w:rPr>
        <w:t>–</w:t>
      </w:r>
      <w:proofErr w:type="gramEnd"/>
      <w:r w:rsidRPr="00365028">
        <w:rPr>
          <w:rFonts w:eastAsia="標楷體"/>
          <w:lang w:eastAsia="zh-TW"/>
        </w:rPr>
        <w:t>4</w:t>
      </w:r>
      <w:r w:rsidRPr="00365028">
        <w:rPr>
          <w:rFonts w:eastAsia="標楷體"/>
          <w:lang w:eastAsia="zh-TW"/>
        </w:rPr>
        <w:t>章，關於研究工作的基礎認識。</w:t>
      </w:r>
    </w:p>
    <w:p w14:paraId="7F0C5E00" w14:textId="77777777" w:rsidR="002E5350" w:rsidRPr="001758F7" w:rsidRDefault="002E5350" w:rsidP="00013224">
      <w:pPr>
        <w:spacing w:line="276" w:lineRule="auto"/>
        <w:rPr>
          <w:rFonts w:ascii="Times New Roman" w:eastAsia="標楷體" w:hAnsi="Times New Roman" w:cs="Times New Roman"/>
        </w:rPr>
      </w:pPr>
    </w:p>
    <w:p w14:paraId="50026041" w14:textId="0DADA6FF" w:rsidR="000E7EE8" w:rsidRPr="001758F7" w:rsidRDefault="004F0D5D" w:rsidP="00013224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020/3/6</w:t>
      </w:r>
      <w:r>
        <w:rPr>
          <w:rFonts w:ascii="Times New Roman" w:eastAsia="標楷體" w:hAnsi="Times New Roman" w:cs="Times New Roman" w:hint="eastAsia"/>
        </w:rPr>
        <w:t>，</w:t>
      </w:r>
      <w:r w:rsidR="00945DC4">
        <w:rPr>
          <w:rFonts w:ascii="Times New Roman" w:eastAsia="標楷體" w:hAnsi="Times New Roman" w:cs="Times New Roman" w:hint="eastAsia"/>
        </w:rPr>
        <w:t>問題意識與經驗研究基礎</w:t>
      </w:r>
    </w:p>
    <w:p w14:paraId="4AD1936F" w14:textId="57AEB643" w:rsidR="00365028" w:rsidRPr="007244A5" w:rsidRDefault="00365028" w:rsidP="002E5350">
      <w:pPr>
        <w:pStyle w:val="a8"/>
        <w:numPr>
          <w:ilvl w:val="0"/>
          <w:numId w:val="1"/>
        </w:numPr>
        <w:jc w:val="both"/>
        <w:rPr>
          <w:rFonts w:eastAsia="標楷體"/>
          <w:color w:val="000000" w:themeColor="text1"/>
          <w:lang w:eastAsia="zh-TW"/>
        </w:rPr>
      </w:pPr>
      <w:r w:rsidRPr="007244A5">
        <w:rPr>
          <w:rFonts w:eastAsia="標楷體"/>
          <w:color w:val="000000" w:themeColor="text1"/>
        </w:rPr>
        <w:t xml:space="preserve">John </w:t>
      </w:r>
      <w:proofErr w:type="spellStart"/>
      <w:r w:rsidRPr="007244A5">
        <w:rPr>
          <w:rFonts w:eastAsia="標楷體"/>
          <w:color w:val="000000" w:themeColor="text1"/>
        </w:rPr>
        <w:t>Gerring</w:t>
      </w:r>
      <w:proofErr w:type="spellEnd"/>
      <w:r w:rsidRPr="007244A5">
        <w:rPr>
          <w:rFonts w:eastAsia="標楷體"/>
          <w:color w:val="000000" w:themeColor="text1"/>
        </w:rPr>
        <w:t xml:space="preserve">, Ch. </w:t>
      </w:r>
      <w:r w:rsidR="00A10D5B">
        <w:rPr>
          <w:rFonts w:eastAsia="標楷體"/>
          <w:color w:val="000000" w:themeColor="text1"/>
        </w:rPr>
        <w:t>2</w:t>
      </w:r>
      <w:r w:rsidRPr="007244A5">
        <w:rPr>
          <w:rFonts w:eastAsia="標楷體"/>
          <w:color w:val="000000" w:themeColor="text1"/>
          <w:lang w:eastAsia="zh-TW"/>
        </w:rPr>
        <w:t>:</w:t>
      </w:r>
      <w:r w:rsidRPr="007244A5">
        <w:rPr>
          <w:rFonts w:eastAsia="標楷體"/>
          <w:color w:val="000000" w:themeColor="text1"/>
        </w:rPr>
        <w:t xml:space="preserve"> “Beginnings and Finding A Research Question.”</w:t>
      </w:r>
    </w:p>
    <w:p w14:paraId="38ACFC99" w14:textId="2BD94FA7" w:rsidR="002E5350" w:rsidRPr="007244A5" w:rsidRDefault="002E5350" w:rsidP="002E5350">
      <w:pPr>
        <w:pStyle w:val="a8"/>
        <w:numPr>
          <w:ilvl w:val="0"/>
          <w:numId w:val="1"/>
        </w:numPr>
        <w:jc w:val="both"/>
        <w:rPr>
          <w:rFonts w:eastAsia="標楷體"/>
          <w:color w:val="000000" w:themeColor="text1"/>
          <w:lang w:eastAsia="zh-TW"/>
        </w:rPr>
      </w:pPr>
      <w:r w:rsidRPr="007244A5">
        <w:rPr>
          <w:rFonts w:eastAsia="標楷體"/>
          <w:color w:val="000000" w:themeColor="text1"/>
          <w:lang w:eastAsia="zh-TW"/>
        </w:rPr>
        <w:t>彭明輝，第</w:t>
      </w:r>
      <w:r w:rsidRPr="007244A5">
        <w:rPr>
          <w:rFonts w:eastAsia="標楷體"/>
          <w:color w:val="000000" w:themeColor="text1"/>
          <w:lang w:eastAsia="zh-TW"/>
        </w:rPr>
        <w:t>5</w:t>
      </w:r>
      <w:proofErr w:type="gramStart"/>
      <w:r w:rsidR="009A5CC0" w:rsidRPr="007244A5">
        <w:rPr>
          <w:rFonts w:eastAsia="標楷體"/>
          <w:color w:val="000000" w:themeColor="text1"/>
          <w:lang w:eastAsia="zh-TW"/>
        </w:rPr>
        <w:t>–</w:t>
      </w:r>
      <w:proofErr w:type="gramEnd"/>
      <w:r w:rsidRPr="007244A5">
        <w:rPr>
          <w:rFonts w:eastAsia="標楷體"/>
          <w:color w:val="000000" w:themeColor="text1"/>
          <w:lang w:eastAsia="zh-TW"/>
        </w:rPr>
        <w:t>8</w:t>
      </w:r>
      <w:r w:rsidRPr="007244A5">
        <w:rPr>
          <w:rFonts w:eastAsia="標楷體"/>
          <w:color w:val="000000" w:themeColor="text1"/>
          <w:lang w:eastAsia="zh-TW"/>
        </w:rPr>
        <w:t>章，關於</w:t>
      </w:r>
      <w:r w:rsidR="003B6C7B" w:rsidRPr="007244A5">
        <w:rPr>
          <w:rFonts w:eastAsia="標楷體"/>
          <w:color w:val="000000" w:themeColor="text1"/>
          <w:lang w:eastAsia="zh-TW"/>
        </w:rPr>
        <w:t>如何發掘</w:t>
      </w:r>
      <w:r w:rsidRPr="007244A5">
        <w:rPr>
          <w:rFonts w:eastAsia="標楷體"/>
          <w:color w:val="000000" w:themeColor="text1"/>
          <w:lang w:eastAsia="zh-TW"/>
        </w:rPr>
        <w:t>研究問題</w:t>
      </w:r>
      <w:r w:rsidR="003B6C7B" w:rsidRPr="007244A5">
        <w:rPr>
          <w:rFonts w:eastAsia="標楷體"/>
          <w:color w:val="000000" w:themeColor="text1"/>
          <w:lang w:eastAsia="zh-TW"/>
        </w:rPr>
        <w:t>。</w:t>
      </w:r>
    </w:p>
    <w:p w14:paraId="400A32EF" w14:textId="656835A6" w:rsidR="002E5350" w:rsidRPr="007244A5" w:rsidRDefault="002E5350" w:rsidP="002E5350">
      <w:pPr>
        <w:pStyle w:val="a8"/>
        <w:numPr>
          <w:ilvl w:val="0"/>
          <w:numId w:val="1"/>
        </w:numPr>
        <w:jc w:val="both"/>
        <w:rPr>
          <w:rFonts w:eastAsia="標楷體"/>
          <w:color w:val="000000" w:themeColor="text1"/>
          <w:lang w:eastAsia="zh-TW"/>
        </w:rPr>
      </w:pPr>
      <w:r w:rsidRPr="007244A5">
        <w:rPr>
          <w:rFonts w:eastAsia="標楷體"/>
          <w:color w:val="000000" w:themeColor="text1"/>
        </w:rPr>
        <w:t xml:space="preserve">Thomas S. Kuhn, </w:t>
      </w:r>
      <w:r w:rsidRPr="007244A5">
        <w:rPr>
          <w:rFonts w:eastAsia="標楷體"/>
          <w:i/>
          <w:iCs/>
          <w:color w:val="000000" w:themeColor="text1"/>
        </w:rPr>
        <w:t>The Structure of Scientific Revolutions</w:t>
      </w:r>
      <w:r w:rsidRPr="007244A5">
        <w:rPr>
          <w:rFonts w:eastAsia="標楷體"/>
          <w:color w:val="000000" w:themeColor="text1"/>
        </w:rPr>
        <w:t>, (Chicago: University of Chicago Press, 1996), Ch</w:t>
      </w:r>
      <w:r w:rsidR="00D93054" w:rsidRPr="007244A5">
        <w:rPr>
          <w:rFonts w:eastAsia="標楷體"/>
          <w:color w:val="000000" w:themeColor="text1"/>
        </w:rPr>
        <w:t>.</w:t>
      </w:r>
      <w:r w:rsidRPr="007244A5">
        <w:rPr>
          <w:rFonts w:eastAsia="標楷體"/>
          <w:color w:val="000000" w:themeColor="text1"/>
        </w:rPr>
        <w:t xml:space="preserve"> 4: “Normal Science as Puzzle-solving.”</w:t>
      </w:r>
    </w:p>
    <w:p w14:paraId="69DF1E95" w14:textId="15952A46" w:rsidR="00B346F8" w:rsidRDefault="007244A5" w:rsidP="002E5350">
      <w:pPr>
        <w:pStyle w:val="a8"/>
        <w:numPr>
          <w:ilvl w:val="0"/>
          <w:numId w:val="1"/>
        </w:numPr>
        <w:jc w:val="both"/>
        <w:rPr>
          <w:rFonts w:eastAsia="標楷體"/>
          <w:color w:val="000000" w:themeColor="text1"/>
          <w:lang w:eastAsia="zh-TW"/>
        </w:rPr>
      </w:pPr>
      <w:r w:rsidRPr="007244A5">
        <w:rPr>
          <w:rFonts w:eastAsia="標楷體"/>
          <w:color w:val="000000" w:themeColor="text1"/>
          <w:lang w:eastAsia="zh-TW"/>
        </w:rPr>
        <w:t>Jillian Schwedler</w:t>
      </w:r>
      <w:r>
        <w:rPr>
          <w:rFonts w:eastAsia="標楷體"/>
          <w:color w:val="000000" w:themeColor="text1"/>
          <w:lang w:eastAsia="zh-TW"/>
        </w:rPr>
        <w:t>, “</w:t>
      </w:r>
      <w:r w:rsidRPr="007244A5">
        <w:rPr>
          <w:rFonts w:eastAsia="標楷體"/>
          <w:color w:val="000000" w:themeColor="text1"/>
          <w:lang w:eastAsia="zh-TW"/>
        </w:rPr>
        <w:t>Puzzle</w:t>
      </w:r>
      <w:r>
        <w:rPr>
          <w:rFonts w:eastAsia="標楷體"/>
          <w:color w:val="000000" w:themeColor="text1"/>
          <w:lang w:eastAsia="zh-TW"/>
        </w:rPr>
        <w:t xml:space="preserve">,” </w:t>
      </w:r>
      <w:r w:rsidRPr="007244A5">
        <w:rPr>
          <w:rFonts w:eastAsia="標楷體"/>
          <w:i/>
          <w:iCs/>
          <w:color w:val="000000" w:themeColor="text1"/>
          <w:lang w:eastAsia="zh-TW"/>
        </w:rPr>
        <w:t>Qualitative &amp; Multi-Method Research</w:t>
      </w:r>
      <w:r w:rsidRPr="007244A5">
        <w:rPr>
          <w:rFonts w:eastAsia="標楷體"/>
          <w:color w:val="000000" w:themeColor="text1"/>
          <w:lang w:eastAsia="zh-TW"/>
        </w:rPr>
        <w:t xml:space="preserve"> </w:t>
      </w:r>
      <w:r>
        <w:rPr>
          <w:rFonts w:eastAsia="標楷體"/>
          <w:color w:val="000000" w:themeColor="text1"/>
          <w:lang w:eastAsia="zh-TW"/>
        </w:rPr>
        <w:t xml:space="preserve">vol. </w:t>
      </w:r>
      <w:r w:rsidRPr="007244A5">
        <w:rPr>
          <w:rFonts w:eastAsia="標楷體"/>
          <w:color w:val="000000" w:themeColor="text1"/>
          <w:lang w:eastAsia="zh-TW"/>
        </w:rPr>
        <w:t>11</w:t>
      </w:r>
      <w:r>
        <w:rPr>
          <w:rFonts w:eastAsia="標楷體"/>
          <w:color w:val="000000" w:themeColor="text1"/>
          <w:lang w:eastAsia="zh-TW"/>
        </w:rPr>
        <w:t xml:space="preserve">, no. </w:t>
      </w:r>
      <w:r w:rsidRPr="007244A5">
        <w:rPr>
          <w:rFonts w:eastAsia="標楷體"/>
          <w:color w:val="000000" w:themeColor="text1"/>
          <w:lang w:eastAsia="zh-TW"/>
        </w:rPr>
        <w:t>2</w:t>
      </w:r>
      <w:r w:rsidR="00081F41">
        <w:rPr>
          <w:rFonts w:eastAsia="標楷體"/>
          <w:color w:val="000000" w:themeColor="text1"/>
          <w:lang w:eastAsia="zh-TW"/>
        </w:rPr>
        <w:t xml:space="preserve"> (2013)</w:t>
      </w:r>
      <w:r w:rsidRPr="007244A5">
        <w:rPr>
          <w:rFonts w:eastAsia="標楷體"/>
          <w:color w:val="000000" w:themeColor="text1"/>
          <w:lang w:eastAsia="zh-TW"/>
        </w:rPr>
        <w:t>, 27</w:t>
      </w:r>
      <w:r w:rsidRPr="00365028">
        <w:rPr>
          <w:rFonts w:eastAsia="標楷體"/>
          <w:lang w:eastAsia="zh-TW"/>
        </w:rPr>
        <w:t>–</w:t>
      </w:r>
      <w:r w:rsidRPr="007244A5">
        <w:rPr>
          <w:rFonts w:eastAsia="標楷體"/>
          <w:color w:val="000000" w:themeColor="text1"/>
          <w:lang w:eastAsia="zh-TW"/>
        </w:rPr>
        <w:t>30.</w:t>
      </w:r>
    </w:p>
    <w:p w14:paraId="609B12FF" w14:textId="4AF55F2E" w:rsidR="00081F41" w:rsidRPr="007244A5" w:rsidRDefault="00081F41" w:rsidP="002E5350">
      <w:pPr>
        <w:pStyle w:val="a8"/>
        <w:numPr>
          <w:ilvl w:val="0"/>
          <w:numId w:val="1"/>
        </w:numPr>
        <w:jc w:val="both"/>
        <w:rPr>
          <w:rFonts w:eastAsia="標楷體"/>
          <w:color w:val="000000" w:themeColor="text1"/>
          <w:lang w:eastAsia="zh-TW"/>
        </w:rPr>
      </w:pPr>
      <w:r w:rsidRPr="00081F41">
        <w:rPr>
          <w:rFonts w:eastAsia="標楷體"/>
          <w:color w:val="000000" w:themeColor="text1"/>
          <w:lang w:eastAsia="zh-TW"/>
        </w:rPr>
        <w:lastRenderedPageBreak/>
        <w:t xml:space="preserve">Fred </w:t>
      </w:r>
      <w:proofErr w:type="spellStart"/>
      <w:r w:rsidRPr="00081F41">
        <w:rPr>
          <w:rFonts w:eastAsia="標楷體"/>
          <w:color w:val="000000" w:themeColor="text1"/>
          <w:lang w:eastAsia="zh-TW"/>
        </w:rPr>
        <w:t>Eidlin</w:t>
      </w:r>
      <w:proofErr w:type="spellEnd"/>
      <w:r>
        <w:rPr>
          <w:rFonts w:eastAsia="標楷體"/>
          <w:color w:val="000000" w:themeColor="text1"/>
          <w:lang w:eastAsia="zh-TW"/>
        </w:rPr>
        <w:t>,</w:t>
      </w:r>
      <w:r w:rsidRPr="00081F41">
        <w:rPr>
          <w:rFonts w:eastAsia="標楷體"/>
          <w:color w:val="000000" w:themeColor="text1"/>
          <w:lang w:eastAsia="zh-TW"/>
        </w:rPr>
        <w:t xml:space="preserve"> “The Method of Problems versus the Method of Topics</w:t>
      </w:r>
      <w:r>
        <w:rPr>
          <w:rFonts w:eastAsia="標楷體"/>
          <w:color w:val="000000" w:themeColor="text1"/>
          <w:lang w:eastAsia="zh-TW"/>
        </w:rPr>
        <w:t>,</w:t>
      </w:r>
      <w:r w:rsidRPr="00081F41">
        <w:rPr>
          <w:rFonts w:eastAsia="標楷體"/>
          <w:color w:val="000000" w:themeColor="text1"/>
          <w:lang w:eastAsia="zh-TW"/>
        </w:rPr>
        <w:t xml:space="preserve">” </w:t>
      </w:r>
      <w:r w:rsidRPr="00861C64">
        <w:rPr>
          <w:rFonts w:eastAsia="標楷體"/>
          <w:i/>
          <w:iCs/>
          <w:color w:val="000000" w:themeColor="text1"/>
          <w:lang w:eastAsia="zh-TW"/>
        </w:rPr>
        <w:t>PS: Political Science and Politics</w:t>
      </w:r>
      <w:r>
        <w:rPr>
          <w:rFonts w:eastAsia="標楷體"/>
          <w:color w:val="000000" w:themeColor="text1"/>
          <w:lang w:eastAsia="zh-TW"/>
        </w:rPr>
        <w:t xml:space="preserve"> vol. </w:t>
      </w:r>
      <w:r w:rsidRPr="00081F41">
        <w:rPr>
          <w:rFonts w:eastAsia="標楷體"/>
          <w:color w:val="000000" w:themeColor="text1"/>
          <w:lang w:eastAsia="zh-TW"/>
        </w:rPr>
        <w:t>44</w:t>
      </w:r>
      <w:r>
        <w:rPr>
          <w:rFonts w:eastAsia="標楷體"/>
          <w:color w:val="000000" w:themeColor="text1"/>
          <w:lang w:eastAsia="zh-TW"/>
        </w:rPr>
        <w:t>, no.</w:t>
      </w:r>
      <w:r w:rsidRPr="00081F41">
        <w:rPr>
          <w:rFonts w:eastAsia="標楷體"/>
          <w:color w:val="000000" w:themeColor="text1"/>
          <w:lang w:eastAsia="zh-TW"/>
        </w:rPr>
        <w:t xml:space="preserve"> 4</w:t>
      </w:r>
      <w:r w:rsidR="00861C64">
        <w:rPr>
          <w:rFonts w:eastAsia="標楷體"/>
          <w:color w:val="000000" w:themeColor="text1"/>
          <w:lang w:eastAsia="zh-TW"/>
        </w:rPr>
        <w:t xml:space="preserve"> </w:t>
      </w:r>
      <w:r>
        <w:rPr>
          <w:rFonts w:eastAsia="標楷體"/>
          <w:color w:val="000000" w:themeColor="text1"/>
          <w:lang w:eastAsia="zh-TW"/>
        </w:rPr>
        <w:t>(</w:t>
      </w:r>
      <w:r w:rsidR="00861C64">
        <w:rPr>
          <w:rFonts w:eastAsia="標楷體"/>
          <w:color w:val="000000" w:themeColor="text1"/>
          <w:lang w:eastAsia="zh-TW"/>
        </w:rPr>
        <w:t>2011</w:t>
      </w:r>
      <w:r>
        <w:rPr>
          <w:rFonts w:eastAsia="標楷體"/>
          <w:color w:val="000000" w:themeColor="text1"/>
          <w:lang w:eastAsia="zh-TW"/>
        </w:rPr>
        <w:t>):</w:t>
      </w:r>
      <w:r w:rsidRPr="00081F41">
        <w:rPr>
          <w:rFonts w:eastAsia="標楷體"/>
          <w:color w:val="000000" w:themeColor="text1"/>
          <w:lang w:eastAsia="zh-TW"/>
        </w:rPr>
        <w:t xml:space="preserve"> 758</w:t>
      </w:r>
      <w:r w:rsidR="00861C64" w:rsidRPr="00365028">
        <w:rPr>
          <w:rFonts w:eastAsia="標楷體"/>
          <w:lang w:eastAsia="zh-TW"/>
        </w:rPr>
        <w:t>–</w:t>
      </w:r>
      <w:r w:rsidRPr="00081F41">
        <w:rPr>
          <w:rFonts w:eastAsia="標楷體"/>
          <w:color w:val="000000" w:themeColor="text1"/>
          <w:lang w:eastAsia="zh-TW"/>
        </w:rPr>
        <w:t>761.</w:t>
      </w:r>
    </w:p>
    <w:p w14:paraId="784DC4E4" w14:textId="77777777" w:rsidR="000E7EE8" w:rsidRPr="00861C64" w:rsidRDefault="000E7EE8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73CA527A" w14:textId="54A54A24" w:rsidR="004818BF" w:rsidRPr="001758F7" w:rsidRDefault="008B0D73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020/3/13</w:t>
      </w:r>
      <w:r>
        <w:rPr>
          <w:rFonts w:ascii="Times New Roman" w:eastAsia="標楷體" w:hAnsi="Times New Roman" w:cs="Times New Roman" w:hint="eastAsia"/>
        </w:rPr>
        <w:t>，</w:t>
      </w:r>
      <w:r w:rsidR="006F3347">
        <w:rPr>
          <w:rFonts w:ascii="Times New Roman" w:eastAsia="標楷體" w:hAnsi="Times New Roman" w:cs="Times New Roman" w:hint="eastAsia"/>
        </w:rPr>
        <w:t>文獻檢閱與質化量化研究法的爭辯</w:t>
      </w:r>
    </w:p>
    <w:p w14:paraId="7CEEC7BE" w14:textId="0546D49B" w:rsidR="00035387" w:rsidRDefault="002E5350" w:rsidP="003B6C7B">
      <w:pPr>
        <w:pStyle w:val="a8"/>
        <w:numPr>
          <w:ilvl w:val="0"/>
          <w:numId w:val="2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彭明輝，第</w:t>
      </w:r>
      <w:r w:rsidRPr="001758F7">
        <w:rPr>
          <w:rFonts w:eastAsia="標楷體"/>
          <w:lang w:eastAsia="zh-TW"/>
        </w:rPr>
        <w:t>9-12</w:t>
      </w:r>
      <w:r w:rsidRPr="001758F7">
        <w:rPr>
          <w:rFonts w:eastAsia="標楷體"/>
          <w:lang w:eastAsia="zh-TW"/>
        </w:rPr>
        <w:t>章</w:t>
      </w:r>
      <w:r w:rsidR="003B6C7B" w:rsidRPr="001758F7">
        <w:rPr>
          <w:rFonts w:eastAsia="標楷體"/>
          <w:lang w:eastAsia="zh-TW"/>
        </w:rPr>
        <w:t>，關於文獻分析的要領。</w:t>
      </w:r>
    </w:p>
    <w:p w14:paraId="0956EC78" w14:textId="324B2F46" w:rsidR="00D958B7" w:rsidRPr="001758F7" w:rsidRDefault="00D958B7" w:rsidP="003B6C7B">
      <w:pPr>
        <w:pStyle w:val="a8"/>
        <w:numPr>
          <w:ilvl w:val="0"/>
          <w:numId w:val="2"/>
        </w:numPr>
        <w:spacing w:line="276" w:lineRule="auto"/>
        <w:jc w:val="both"/>
        <w:rPr>
          <w:rFonts w:eastAsia="標楷體"/>
          <w:lang w:eastAsia="zh-TW"/>
        </w:rPr>
      </w:pPr>
      <w:r w:rsidRPr="00D958B7">
        <w:rPr>
          <w:rFonts w:eastAsia="標楷體"/>
          <w:lang w:eastAsia="zh-TW"/>
        </w:rPr>
        <w:t>Jeffrey W. Knopf</w:t>
      </w:r>
      <w:r>
        <w:rPr>
          <w:rFonts w:eastAsia="標楷體"/>
          <w:lang w:eastAsia="zh-TW"/>
        </w:rPr>
        <w:t xml:space="preserve">, “Doing A Literature Review,” </w:t>
      </w:r>
      <w:r w:rsidRPr="00D958B7">
        <w:rPr>
          <w:rFonts w:eastAsia="標楷體"/>
          <w:i/>
          <w:iCs/>
          <w:lang w:eastAsia="zh-TW"/>
        </w:rPr>
        <w:t>PS: Political Science and Politics</w:t>
      </w:r>
      <w:r>
        <w:rPr>
          <w:rFonts w:eastAsia="標楷體"/>
          <w:lang w:eastAsia="zh-TW"/>
        </w:rPr>
        <w:t xml:space="preserve"> vol. 39, no. 1 (2006): 127</w:t>
      </w:r>
      <w:r w:rsidRPr="001758F7">
        <w:rPr>
          <w:rFonts w:eastAsia="標楷體"/>
        </w:rPr>
        <w:t>–</w:t>
      </w:r>
      <w:r>
        <w:rPr>
          <w:rFonts w:eastAsia="標楷體"/>
          <w:lang w:eastAsia="zh-TW"/>
        </w:rPr>
        <w:t>132.</w:t>
      </w:r>
    </w:p>
    <w:p w14:paraId="59E29B9F" w14:textId="22A8D11C" w:rsidR="003B6C7B" w:rsidRPr="001758F7" w:rsidRDefault="003B6C7B" w:rsidP="003B6C7B">
      <w:pPr>
        <w:pStyle w:val="a8"/>
        <w:numPr>
          <w:ilvl w:val="0"/>
          <w:numId w:val="2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Paul Furlong, “A Skin Not A Sweater: Ontology and Epistemology in Political Science,” in </w:t>
      </w:r>
      <w:r w:rsidRPr="001758F7">
        <w:rPr>
          <w:rFonts w:eastAsia="標楷體"/>
          <w:i/>
          <w:iCs/>
        </w:rPr>
        <w:t>Theory and Methods in Political Science</w:t>
      </w:r>
      <w:r w:rsidRPr="001758F7">
        <w:rPr>
          <w:rFonts w:eastAsia="標楷體"/>
        </w:rPr>
        <w:t xml:space="preserve"> (London: Palgrave Macmillan, 2002), 17–41.</w:t>
      </w:r>
    </w:p>
    <w:p w14:paraId="416AF27E" w14:textId="28EAE78D" w:rsidR="008B5B74" w:rsidRPr="001758F7" w:rsidRDefault="008B5B74" w:rsidP="003B6C7B">
      <w:pPr>
        <w:pStyle w:val="a8"/>
        <w:numPr>
          <w:ilvl w:val="0"/>
          <w:numId w:val="2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Gary Goertz and James Mahoney, “Methodological Rorschach Tests: Contrasting Interpretations in Qualitative and Quantitative Research,” </w:t>
      </w:r>
      <w:r w:rsidRPr="001758F7">
        <w:rPr>
          <w:rFonts w:eastAsia="標楷體"/>
          <w:i/>
          <w:iCs/>
        </w:rPr>
        <w:t>Comparative Political Studies</w:t>
      </w:r>
      <w:r w:rsidRPr="001758F7">
        <w:rPr>
          <w:rFonts w:eastAsia="標楷體"/>
        </w:rPr>
        <w:t xml:space="preserve"> vol. 46, no. 2 (2013): 236–251.</w:t>
      </w:r>
    </w:p>
    <w:p w14:paraId="16094B5F" w14:textId="0D941719" w:rsidR="003B6C7B" w:rsidRPr="00CE2A00" w:rsidRDefault="003B6C7B" w:rsidP="003B6C7B">
      <w:pPr>
        <w:pStyle w:val="a8"/>
        <w:numPr>
          <w:ilvl w:val="0"/>
          <w:numId w:val="2"/>
        </w:numPr>
        <w:jc w:val="both"/>
        <w:rPr>
          <w:rFonts w:eastAsia="標楷體"/>
          <w:color w:val="000000" w:themeColor="text1"/>
          <w:lang w:eastAsia="zh-TW"/>
        </w:rPr>
      </w:pPr>
      <w:r w:rsidRPr="00CE2A00">
        <w:rPr>
          <w:rFonts w:eastAsia="標楷體"/>
          <w:color w:val="000000" w:themeColor="text1"/>
        </w:rPr>
        <w:t xml:space="preserve">James Mahoney and Gary Goertz, “A Tale of Two Cultures: Contrasting Quantitative and Qualitative Research,” </w:t>
      </w:r>
      <w:r w:rsidRPr="00CE2A00">
        <w:rPr>
          <w:rFonts w:eastAsia="標楷體"/>
          <w:i/>
          <w:iCs/>
          <w:color w:val="000000" w:themeColor="text1"/>
        </w:rPr>
        <w:t>Political Analysis</w:t>
      </w:r>
      <w:r w:rsidRPr="00CE2A00">
        <w:rPr>
          <w:rFonts w:eastAsia="標楷體"/>
          <w:color w:val="000000" w:themeColor="text1"/>
        </w:rPr>
        <w:t xml:space="preserve"> </w:t>
      </w:r>
      <w:r w:rsidR="002A0025" w:rsidRPr="00CE2A00">
        <w:rPr>
          <w:rFonts w:eastAsia="標楷體"/>
          <w:color w:val="000000" w:themeColor="text1"/>
        </w:rPr>
        <w:t xml:space="preserve">vol. </w:t>
      </w:r>
      <w:r w:rsidRPr="00CE2A00">
        <w:rPr>
          <w:rFonts w:eastAsia="標楷體"/>
          <w:color w:val="000000" w:themeColor="text1"/>
        </w:rPr>
        <w:t>14, no. 3 (2006): 227–249.</w:t>
      </w:r>
    </w:p>
    <w:p w14:paraId="0A98D893" w14:textId="5279425C" w:rsidR="002E5350" w:rsidRPr="001758F7" w:rsidRDefault="002E5350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10F3A1E9" w14:textId="3D1A6B00" w:rsidR="00BF76B8" w:rsidRPr="001758F7" w:rsidRDefault="008B0D73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020/3/20</w:t>
      </w:r>
      <w:r w:rsidR="00275CB8">
        <w:rPr>
          <w:rFonts w:ascii="Times New Roman" w:eastAsia="標楷體" w:hAnsi="Times New Roman" w:cs="Times New Roman" w:hint="eastAsia"/>
        </w:rPr>
        <w:t>，</w:t>
      </w:r>
      <w:r w:rsidR="00D277E5">
        <w:rPr>
          <w:rFonts w:ascii="Times New Roman" w:eastAsia="標楷體" w:hAnsi="Times New Roman" w:cs="Times New Roman" w:hint="eastAsia"/>
        </w:rPr>
        <w:t>概念建構與衡量</w:t>
      </w:r>
    </w:p>
    <w:p w14:paraId="1FECCAD4" w14:textId="763FDABE" w:rsidR="00BF76B8" w:rsidRPr="001758F7" w:rsidRDefault="00BF76B8" w:rsidP="00BF76B8">
      <w:pPr>
        <w:pStyle w:val="a8"/>
        <w:numPr>
          <w:ilvl w:val="0"/>
          <w:numId w:val="4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>, Ch</w:t>
      </w:r>
      <w:r w:rsidR="00D93054" w:rsidRPr="001758F7">
        <w:rPr>
          <w:rFonts w:eastAsia="標楷體"/>
        </w:rPr>
        <w:t>.</w:t>
      </w:r>
      <w:r w:rsidRPr="001758F7">
        <w:rPr>
          <w:rFonts w:eastAsia="標楷體"/>
        </w:rPr>
        <w:t xml:space="preserve"> 5</w:t>
      </w:r>
      <w:r w:rsidRPr="001758F7">
        <w:rPr>
          <w:rFonts w:eastAsia="標楷體"/>
          <w:lang w:eastAsia="zh-TW"/>
        </w:rPr>
        <w:t>: “Concepts</w:t>
      </w:r>
      <w:r w:rsidR="00D93054" w:rsidRPr="001758F7">
        <w:rPr>
          <w:rFonts w:eastAsia="標楷體"/>
          <w:lang w:eastAsia="zh-TW"/>
        </w:rPr>
        <w:t>,</w:t>
      </w:r>
      <w:r w:rsidRPr="001758F7">
        <w:rPr>
          <w:rFonts w:eastAsia="標楷體"/>
          <w:lang w:eastAsia="zh-TW"/>
        </w:rPr>
        <w:t xml:space="preserve">” </w:t>
      </w:r>
      <w:r w:rsidR="00D93054" w:rsidRPr="001758F7">
        <w:rPr>
          <w:rFonts w:eastAsia="標楷體"/>
          <w:lang w:eastAsia="zh-TW"/>
        </w:rPr>
        <w:t>Ch.</w:t>
      </w:r>
      <w:r w:rsidRPr="001758F7">
        <w:rPr>
          <w:rFonts w:eastAsia="標楷體"/>
          <w:lang w:eastAsia="zh-TW"/>
        </w:rPr>
        <w:t xml:space="preserve"> </w:t>
      </w:r>
      <w:r w:rsidRPr="001758F7">
        <w:rPr>
          <w:rFonts w:eastAsia="標楷體"/>
        </w:rPr>
        <w:t>7: “Measurements</w:t>
      </w:r>
      <w:r w:rsidR="00D93054" w:rsidRPr="001758F7">
        <w:rPr>
          <w:rFonts w:eastAsia="標楷體"/>
        </w:rPr>
        <w:t>.</w:t>
      </w:r>
      <w:r w:rsidRPr="001758F7">
        <w:rPr>
          <w:rFonts w:eastAsia="標楷體"/>
        </w:rPr>
        <w:t>”</w:t>
      </w:r>
    </w:p>
    <w:p w14:paraId="5A2DF491" w14:textId="58D33D0F" w:rsidR="00BF76B8" w:rsidRPr="001758F7" w:rsidRDefault="00BF76B8" w:rsidP="00BF76B8">
      <w:pPr>
        <w:pStyle w:val="a8"/>
        <w:numPr>
          <w:ilvl w:val="0"/>
          <w:numId w:val="4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Giovanni </w:t>
      </w:r>
      <w:proofErr w:type="spellStart"/>
      <w:r w:rsidRPr="001758F7">
        <w:rPr>
          <w:rFonts w:eastAsia="標楷體"/>
        </w:rPr>
        <w:t>Sartori</w:t>
      </w:r>
      <w:proofErr w:type="spellEnd"/>
      <w:r w:rsidRPr="001758F7">
        <w:rPr>
          <w:rFonts w:eastAsia="標楷體"/>
        </w:rPr>
        <w:t xml:space="preserve">, “Concept </w:t>
      </w:r>
      <w:proofErr w:type="spellStart"/>
      <w:r w:rsidRPr="001758F7">
        <w:rPr>
          <w:rFonts w:eastAsia="標楷體"/>
        </w:rPr>
        <w:t>Misformation</w:t>
      </w:r>
      <w:proofErr w:type="spellEnd"/>
      <w:r w:rsidRPr="001758F7">
        <w:rPr>
          <w:rFonts w:eastAsia="標楷體"/>
        </w:rPr>
        <w:t xml:space="preserve"> in Comparative Politics,” </w:t>
      </w:r>
      <w:r w:rsidRPr="001758F7">
        <w:rPr>
          <w:rFonts w:eastAsia="標楷體"/>
          <w:i/>
          <w:iCs/>
        </w:rPr>
        <w:t>American Political Science Review</w:t>
      </w:r>
      <w:r w:rsidRPr="001758F7">
        <w:rPr>
          <w:rFonts w:eastAsia="標楷體"/>
        </w:rPr>
        <w:t xml:space="preserve"> </w:t>
      </w:r>
      <w:r w:rsidR="002A0025" w:rsidRPr="001758F7">
        <w:rPr>
          <w:rFonts w:eastAsia="標楷體"/>
        </w:rPr>
        <w:t xml:space="preserve">vol. </w:t>
      </w:r>
      <w:r w:rsidRPr="001758F7">
        <w:rPr>
          <w:rFonts w:eastAsia="標楷體"/>
        </w:rPr>
        <w:t>64, no. 4 (1970): 1033–1053.</w:t>
      </w:r>
    </w:p>
    <w:p w14:paraId="300C3871" w14:textId="095F8C4B" w:rsidR="00BF76B8" w:rsidRPr="001758F7" w:rsidRDefault="00BF76B8" w:rsidP="00BF76B8">
      <w:pPr>
        <w:pStyle w:val="a8"/>
        <w:numPr>
          <w:ilvl w:val="0"/>
          <w:numId w:val="4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Robert Adcock and David Collier, “Measurement Validity: A Shared Standard for Qualitative and Quantitative Research,” </w:t>
      </w:r>
      <w:r w:rsidRPr="001758F7">
        <w:rPr>
          <w:rFonts w:eastAsia="標楷體"/>
          <w:i/>
          <w:iCs/>
        </w:rPr>
        <w:t>American Political Science Review</w:t>
      </w:r>
      <w:r w:rsidRPr="001758F7">
        <w:rPr>
          <w:rFonts w:eastAsia="標楷體"/>
        </w:rPr>
        <w:t xml:space="preserve"> </w:t>
      </w:r>
      <w:r w:rsidR="002A0025" w:rsidRPr="001758F7">
        <w:rPr>
          <w:rFonts w:eastAsia="標楷體"/>
        </w:rPr>
        <w:t xml:space="preserve">vol. </w:t>
      </w:r>
      <w:r w:rsidRPr="001758F7">
        <w:rPr>
          <w:rFonts w:eastAsia="標楷體"/>
        </w:rPr>
        <w:t>95, no. 3 (2001): 529–546.</w:t>
      </w:r>
    </w:p>
    <w:p w14:paraId="5FDE11C1" w14:textId="2A5EE060" w:rsidR="00BF76B8" w:rsidRPr="00CE2A00" w:rsidRDefault="00BF76B8" w:rsidP="00BF76B8">
      <w:pPr>
        <w:pStyle w:val="a8"/>
        <w:numPr>
          <w:ilvl w:val="0"/>
          <w:numId w:val="4"/>
        </w:numPr>
        <w:jc w:val="both"/>
        <w:rPr>
          <w:rFonts w:eastAsia="標楷體"/>
          <w:color w:val="000000" w:themeColor="text1"/>
          <w:lang w:eastAsia="zh-TW"/>
        </w:rPr>
      </w:pPr>
      <w:r w:rsidRPr="00CE2A00">
        <w:rPr>
          <w:rFonts w:eastAsia="標楷體"/>
          <w:color w:val="000000" w:themeColor="text1"/>
        </w:rPr>
        <w:t xml:space="preserve">Gerardo L. </w:t>
      </w:r>
      <w:proofErr w:type="spellStart"/>
      <w:r w:rsidRPr="00CE2A00">
        <w:rPr>
          <w:rFonts w:eastAsia="標楷體"/>
          <w:color w:val="000000" w:themeColor="text1"/>
        </w:rPr>
        <w:t>Munck</w:t>
      </w:r>
      <w:proofErr w:type="spellEnd"/>
      <w:r w:rsidRPr="00CE2A00">
        <w:rPr>
          <w:rFonts w:eastAsia="標楷體"/>
          <w:color w:val="000000" w:themeColor="text1"/>
        </w:rPr>
        <w:t xml:space="preserve"> and Jay </w:t>
      </w:r>
      <w:proofErr w:type="spellStart"/>
      <w:r w:rsidRPr="00CE2A00">
        <w:rPr>
          <w:rFonts w:eastAsia="標楷體"/>
          <w:color w:val="000000" w:themeColor="text1"/>
        </w:rPr>
        <w:t>Verkuilen</w:t>
      </w:r>
      <w:proofErr w:type="spellEnd"/>
      <w:r w:rsidRPr="00CE2A00">
        <w:rPr>
          <w:rFonts w:eastAsia="標楷體"/>
          <w:color w:val="000000" w:themeColor="text1"/>
        </w:rPr>
        <w:t xml:space="preserve">, “Conceptualizing and Measuring Democracy: Evaluating Alternative Indices,” </w:t>
      </w:r>
      <w:r w:rsidRPr="00CE2A00">
        <w:rPr>
          <w:rFonts w:eastAsia="標楷體"/>
          <w:i/>
          <w:iCs/>
          <w:color w:val="000000" w:themeColor="text1"/>
        </w:rPr>
        <w:t>Comparative Political Studies</w:t>
      </w:r>
      <w:r w:rsidRPr="00CE2A00">
        <w:rPr>
          <w:rFonts w:eastAsia="標楷體"/>
          <w:color w:val="000000" w:themeColor="text1"/>
        </w:rPr>
        <w:t xml:space="preserve"> </w:t>
      </w:r>
      <w:r w:rsidR="002A0025" w:rsidRPr="00CE2A00">
        <w:rPr>
          <w:rFonts w:eastAsia="標楷體"/>
          <w:color w:val="000000" w:themeColor="text1"/>
        </w:rPr>
        <w:t xml:space="preserve">vol. </w:t>
      </w:r>
      <w:r w:rsidRPr="00CE2A00">
        <w:rPr>
          <w:rFonts w:eastAsia="標楷體"/>
          <w:color w:val="000000" w:themeColor="text1"/>
        </w:rPr>
        <w:t>35, no. 1 (2002): 5–34</w:t>
      </w:r>
      <w:r w:rsidRPr="00CE2A00">
        <w:rPr>
          <w:rFonts w:eastAsia="標楷體"/>
          <w:color w:val="000000" w:themeColor="text1"/>
          <w:lang w:eastAsia="zh-TW"/>
        </w:rPr>
        <w:t>.</w:t>
      </w:r>
    </w:p>
    <w:p w14:paraId="303D7EBF" w14:textId="42342467" w:rsidR="00BF76B8" w:rsidRPr="00860104" w:rsidRDefault="00BF76B8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6565540A" w14:textId="40437601" w:rsidR="00BF76B8" w:rsidRPr="001758F7" w:rsidRDefault="008B0D73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020/3/27</w:t>
      </w:r>
      <w:r>
        <w:rPr>
          <w:rFonts w:ascii="Times New Roman" w:eastAsia="標楷體" w:hAnsi="Times New Roman" w:cs="Times New Roman" w:hint="eastAsia"/>
        </w:rPr>
        <w:t>，</w:t>
      </w:r>
      <w:r w:rsidR="00D277E5">
        <w:rPr>
          <w:rFonts w:ascii="Times New Roman" w:eastAsia="標楷體" w:hAnsi="Times New Roman" w:cs="Times New Roman" w:hint="eastAsia"/>
        </w:rPr>
        <w:t>敘述與因果論證</w:t>
      </w:r>
    </w:p>
    <w:p w14:paraId="0648BC0F" w14:textId="7244DB95" w:rsidR="0082728B" w:rsidRPr="001758F7" w:rsidRDefault="0082728B" w:rsidP="0082728B">
      <w:pPr>
        <w:pStyle w:val="a8"/>
        <w:numPr>
          <w:ilvl w:val="0"/>
          <w:numId w:val="8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 xml:space="preserve">, </w:t>
      </w:r>
      <w:r w:rsidR="00DB02D9" w:rsidRPr="001758F7">
        <w:rPr>
          <w:rFonts w:eastAsia="標楷體"/>
        </w:rPr>
        <w:t>Ch.</w:t>
      </w:r>
      <w:r w:rsidRPr="001758F7">
        <w:rPr>
          <w:rFonts w:eastAsia="標楷體"/>
        </w:rPr>
        <w:t xml:space="preserve"> </w:t>
      </w:r>
      <w:r w:rsidR="00D93054" w:rsidRPr="001758F7">
        <w:rPr>
          <w:rFonts w:eastAsia="標楷體"/>
          <w:lang w:eastAsia="zh-TW"/>
        </w:rPr>
        <w:t xml:space="preserve">3: “Arguments,” Ch. </w:t>
      </w:r>
      <w:r w:rsidRPr="001758F7">
        <w:rPr>
          <w:rFonts w:eastAsia="標楷體"/>
        </w:rPr>
        <w:t>6</w:t>
      </w:r>
      <w:r w:rsidRPr="001758F7">
        <w:rPr>
          <w:rFonts w:eastAsia="標楷體"/>
          <w:lang w:eastAsia="zh-TW"/>
        </w:rPr>
        <w:t>: “Descriptive Arguments</w:t>
      </w:r>
      <w:r w:rsidR="00D93054" w:rsidRPr="001758F7">
        <w:rPr>
          <w:rFonts w:eastAsia="標楷體"/>
          <w:lang w:eastAsia="zh-TW"/>
        </w:rPr>
        <w:t>,</w:t>
      </w:r>
      <w:r w:rsidRPr="001758F7">
        <w:rPr>
          <w:rFonts w:eastAsia="標楷體"/>
          <w:lang w:eastAsia="zh-TW"/>
        </w:rPr>
        <w:t>”</w:t>
      </w:r>
      <w:r w:rsidRPr="001758F7">
        <w:rPr>
          <w:rFonts w:eastAsia="標楷體"/>
        </w:rPr>
        <w:t xml:space="preserve"> </w:t>
      </w:r>
      <w:r w:rsidR="00D93054" w:rsidRPr="001758F7">
        <w:rPr>
          <w:rFonts w:eastAsia="標楷體"/>
        </w:rPr>
        <w:t>Ch.</w:t>
      </w:r>
      <w:r w:rsidRPr="001758F7">
        <w:rPr>
          <w:rFonts w:eastAsia="標楷體"/>
        </w:rPr>
        <w:t xml:space="preserve"> 8: “Causal Arguments</w:t>
      </w:r>
      <w:r w:rsidR="00D93054" w:rsidRPr="001758F7">
        <w:rPr>
          <w:rFonts w:eastAsia="標楷體"/>
        </w:rPr>
        <w:t>.</w:t>
      </w:r>
      <w:r w:rsidRPr="001758F7">
        <w:rPr>
          <w:rFonts w:eastAsia="標楷體"/>
        </w:rPr>
        <w:t>”</w:t>
      </w:r>
    </w:p>
    <w:p w14:paraId="790F6428" w14:textId="778A84D4" w:rsidR="00AA760E" w:rsidRDefault="005301E9" w:rsidP="00CA4026">
      <w:pPr>
        <w:pStyle w:val="a8"/>
        <w:numPr>
          <w:ilvl w:val="0"/>
          <w:numId w:val="8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 xml:space="preserve">Booth, Wayne C., Gregory G. </w:t>
      </w:r>
      <w:proofErr w:type="spellStart"/>
      <w:r w:rsidRPr="001758F7">
        <w:rPr>
          <w:rFonts w:eastAsia="標楷體"/>
          <w:lang w:eastAsia="zh-TW"/>
        </w:rPr>
        <w:t>Colomb</w:t>
      </w:r>
      <w:proofErr w:type="spellEnd"/>
      <w:r w:rsidRPr="001758F7">
        <w:rPr>
          <w:rFonts w:eastAsia="標楷體"/>
          <w:lang w:eastAsia="zh-TW"/>
        </w:rPr>
        <w:t xml:space="preserve">, and Joseph M. Williams. </w:t>
      </w:r>
      <w:r w:rsidRPr="001758F7">
        <w:rPr>
          <w:rFonts w:eastAsia="標楷體"/>
          <w:i/>
          <w:iCs/>
          <w:lang w:eastAsia="zh-TW"/>
        </w:rPr>
        <w:t>The Craft of Research</w:t>
      </w:r>
      <w:r w:rsidRPr="001758F7">
        <w:rPr>
          <w:rFonts w:eastAsia="標楷體"/>
          <w:lang w:eastAsia="zh-TW"/>
        </w:rPr>
        <w:t xml:space="preserve"> (Chicago: University of Chicago Press, 2008), </w:t>
      </w:r>
      <w:r w:rsidR="004569A0">
        <w:rPr>
          <w:rFonts w:eastAsia="標楷體"/>
          <w:lang w:eastAsia="zh-TW"/>
        </w:rPr>
        <w:t>Ch. 8 “Claims,” Ch. 9: “Reasons and Evidence.”</w:t>
      </w:r>
    </w:p>
    <w:p w14:paraId="76EBBAED" w14:textId="5C39C44D" w:rsidR="00CA4026" w:rsidRPr="00CA4026" w:rsidRDefault="00CA4026" w:rsidP="00CA4026">
      <w:pPr>
        <w:pStyle w:val="a8"/>
        <w:numPr>
          <w:ilvl w:val="0"/>
          <w:numId w:val="8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Raphael B. Folsom, </w:t>
      </w:r>
      <w:r w:rsidRPr="001758F7">
        <w:rPr>
          <w:rFonts w:eastAsia="標楷體"/>
          <w:i/>
          <w:iCs/>
        </w:rPr>
        <w:t>How to Get Grant Money in the Humanities and Social Sciences</w:t>
      </w:r>
      <w:r w:rsidRPr="001758F7">
        <w:rPr>
          <w:rFonts w:eastAsia="標楷體"/>
        </w:rPr>
        <w:t>, (New Haven, CT: Yale University Press, 2019).</w:t>
      </w:r>
      <w:r w:rsidRPr="001758F7">
        <w:rPr>
          <w:rFonts w:eastAsia="標楷體"/>
          <w:lang w:eastAsia="zh-TW"/>
        </w:rPr>
        <w:t>（</w:t>
      </w:r>
      <w:r w:rsidR="008C5F48">
        <w:rPr>
          <w:rFonts w:eastAsia="標楷體" w:hint="eastAsia"/>
          <w:lang w:eastAsia="zh-TW"/>
        </w:rPr>
        <w:t>由</w:t>
      </w:r>
      <w:r>
        <w:rPr>
          <w:rFonts w:eastAsia="標楷體" w:hint="eastAsia"/>
          <w:lang w:eastAsia="zh-TW"/>
        </w:rPr>
        <w:t>授課教師講解</w:t>
      </w:r>
      <w:r w:rsidR="00474176">
        <w:rPr>
          <w:rFonts w:eastAsia="標楷體" w:hint="eastAsia"/>
          <w:lang w:eastAsia="zh-TW"/>
        </w:rPr>
        <w:t>申請經費</w:t>
      </w:r>
      <w:r>
        <w:rPr>
          <w:rFonts w:eastAsia="標楷體" w:hint="eastAsia"/>
          <w:lang w:eastAsia="zh-TW"/>
        </w:rPr>
        <w:t>的要領</w:t>
      </w:r>
      <w:r w:rsidRPr="001758F7">
        <w:rPr>
          <w:rFonts w:eastAsia="標楷體"/>
          <w:lang w:eastAsia="zh-TW"/>
        </w:rPr>
        <w:t>）</w:t>
      </w:r>
    </w:p>
    <w:p w14:paraId="4DD34215" w14:textId="77777777" w:rsidR="00001E18" w:rsidRPr="001758F7" w:rsidRDefault="00001E18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015E35B0" w14:textId="3C6B4E14" w:rsidR="00B81FC3" w:rsidRPr="001758F7" w:rsidRDefault="008B0D73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020/4/10</w:t>
      </w:r>
      <w:r>
        <w:rPr>
          <w:rFonts w:ascii="Times New Roman" w:eastAsia="標楷體" w:hAnsi="Times New Roman" w:cs="Times New Roman" w:hint="eastAsia"/>
        </w:rPr>
        <w:t>，</w:t>
      </w:r>
      <w:r w:rsidR="00D277E5">
        <w:rPr>
          <w:rFonts w:ascii="Times New Roman" w:eastAsia="標楷體" w:hAnsi="Times New Roman" w:cs="Times New Roman" w:hint="eastAsia"/>
        </w:rPr>
        <w:t>研究設計與反事實推論法</w:t>
      </w:r>
    </w:p>
    <w:p w14:paraId="6D8B3C0C" w14:textId="77777777" w:rsidR="009A5CC0" w:rsidRPr="001758F7" w:rsidRDefault="009A5CC0" w:rsidP="00EB348F">
      <w:pPr>
        <w:pStyle w:val="a8"/>
        <w:numPr>
          <w:ilvl w:val="0"/>
          <w:numId w:val="19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彭明輝，第</w:t>
      </w:r>
      <w:r w:rsidRPr="001758F7">
        <w:rPr>
          <w:rFonts w:eastAsia="標楷體"/>
          <w:lang w:eastAsia="zh-TW"/>
        </w:rPr>
        <w:t>13</w:t>
      </w:r>
      <w:proofErr w:type="gramStart"/>
      <w:r w:rsidRPr="001758F7">
        <w:rPr>
          <w:rFonts w:eastAsia="標楷體"/>
          <w:lang w:eastAsia="zh-TW"/>
        </w:rPr>
        <w:t>–</w:t>
      </w:r>
      <w:proofErr w:type="gramEnd"/>
      <w:r w:rsidRPr="001758F7">
        <w:rPr>
          <w:rFonts w:eastAsia="標楷體"/>
          <w:lang w:eastAsia="zh-TW"/>
        </w:rPr>
        <w:t>16</w:t>
      </w:r>
      <w:r w:rsidRPr="001758F7">
        <w:rPr>
          <w:rFonts w:eastAsia="標楷體"/>
          <w:lang w:eastAsia="zh-TW"/>
        </w:rPr>
        <w:t>章，關於研究設計與讀者的期待。</w:t>
      </w:r>
    </w:p>
    <w:p w14:paraId="0E0C3F01" w14:textId="3C9B0DB3" w:rsidR="00A423B8" w:rsidRPr="001758F7" w:rsidRDefault="00A423B8" w:rsidP="00EB348F">
      <w:pPr>
        <w:pStyle w:val="a8"/>
        <w:numPr>
          <w:ilvl w:val="0"/>
          <w:numId w:val="19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lastRenderedPageBreak/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 xml:space="preserve">, “How Good Is Good Enough? A Multidimensional, Best-Possible Standard for Research Design,” </w:t>
      </w:r>
      <w:r w:rsidRPr="001758F7">
        <w:rPr>
          <w:rFonts w:eastAsia="標楷體"/>
          <w:i/>
          <w:iCs/>
        </w:rPr>
        <w:t>Political Research Quarterly</w:t>
      </w:r>
      <w:r w:rsidRPr="001758F7">
        <w:rPr>
          <w:rFonts w:eastAsia="標楷體"/>
        </w:rPr>
        <w:t xml:space="preserve"> vol. 64, no. 3 (2011): 625–636.</w:t>
      </w:r>
    </w:p>
    <w:p w14:paraId="67BC8994" w14:textId="374B9900" w:rsidR="005F5523" w:rsidRPr="001758F7" w:rsidRDefault="005F5523" w:rsidP="00EB348F">
      <w:pPr>
        <w:pStyle w:val="a8"/>
        <w:numPr>
          <w:ilvl w:val="0"/>
          <w:numId w:val="19"/>
        </w:numPr>
        <w:spacing w:line="276" w:lineRule="auto"/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 xml:space="preserve">, </w:t>
      </w:r>
      <w:r w:rsidR="00AB1AF3" w:rsidRPr="001758F7">
        <w:rPr>
          <w:rFonts w:eastAsia="標楷體"/>
        </w:rPr>
        <w:t>Ch. 4: “Analysis</w:t>
      </w:r>
      <w:r w:rsidR="00A10D5B">
        <w:rPr>
          <w:rFonts w:eastAsia="標楷體"/>
        </w:rPr>
        <w:t>.</w:t>
      </w:r>
      <w:r w:rsidR="00AB1AF3" w:rsidRPr="001758F7">
        <w:rPr>
          <w:rFonts w:eastAsia="標楷體"/>
        </w:rPr>
        <w:t>”</w:t>
      </w:r>
    </w:p>
    <w:p w14:paraId="077C592A" w14:textId="27627893" w:rsidR="00E660FF" w:rsidRDefault="00E660FF" w:rsidP="00EB348F">
      <w:pPr>
        <w:pStyle w:val="a8"/>
        <w:numPr>
          <w:ilvl w:val="0"/>
          <w:numId w:val="19"/>
        </w:numPr>
        <w:spacing w:line="276" w:lineRule="auto"/>
        <w:jc w:val="both"/>
        <w:rPr>
          <w:rFonts w:eastAsia="標楷體"/>
          <w:lang w:eastAsia="zh-TW"/>
        </w:rPr>
      </w:pPr>
      <w:proofErr w:type="gramStart"/>
      <w:r w:rsidRPr="001758F7">
        <w:rPr>
          <w:rFonts w:eastAsia="標楷體"/>
          <w:lang w:eastAsia="zh-TW"/>
        </w:rPr>
        <w:t>黃紀</w:t>
      </w:r>
      <w:proofErr w:type="gramEnd"/>
      <w:r w:rsidRPr="001758F7">
        <w:rPr>
          <w:rFonts w:eastAsia="標楷體"/>
          <w:lang w:eastAsia="zh-TW"/>
        </w:rPr>
        <w:t>，</w:t>
      </w:r>
      <w:proofErr w:type="gramStart"/>
      <w:r w:rsidRPr="001758F7">
        <w:rPr>
          <w:rFonts w:eastAsia="標楷體"/>
          <w:lang w:eastAsia="zh-TW"/>
        </w:rPr>
        <w:t>〈</w:t>
      </w:r>
      <w:proofErr w:type="gramEnd"/>
      <w:r w:rsidRPr="001758F7">
        <w:rPr>
          <w:rFonts w:eastAsia="標楷體"/>
          <w:lang w:eastAsia="zh-TW"/>
        </w:rPr>
        <w:t>因果推論與觀察研究：「反事實模型」之思考</w:t>
      </w:r>
      <w:proofErr w:type="gramStart"/>
      <w:r w:rsidRPr="001758F7">
        <w:rPr>
          <w:rFonts w:eastAsia="標楷體"/>
          <w:lang w:eastAsia="zh-TW"/>
        </w:rPr>
        <w:t>〉</w:t>
      </w:r>
      <w:proofErr w:type="gramEnd"/>
      <w:r w:rsidRPr="001758F7">
        <w:rPr>
          <w:rFonts w:eastAsia="標楷體"/>
          <w:lang w:eastAsia="zh-TW"/>
        </w:rPr>
        <w:t>，《社會科學論叢》，第</w:t>
      </w:r>
      <w:r w:rsidRPr="001758F7">
        <w:rPr>
          <w:rFonts w:eastAsia="標楷體"/>
          <w:lang w:eastAsia="zh-TW"/>
        </w:rPr>
        <w:t>2</w:t>
      </w:r>
      <w:r w:rsidRPr="001758F7">
        <w:rPr>
          <w:rFonts w:eastAsia="標楷體"/>
          <w:lang w:eastAsia="zh-TW"/>
        </w:rPr>
        <w:t>卷，第</w:t>
      </w:r>
      <w:r w:rsidRPr="001758F7">
        <w:rPr>
          <w:rFonts w:eastAsia="標楷體"/>
          <w:lang w:eastAsia="zh-TW"/>
        </w:rPr>
        <w:t>1</w:t>
      </w:r>
      <w:r w:rsidRPr="001758F7">
        <w:rPr>
          <w:rFonts w:eastAsia="標楷體"/>
          <w:lang w:eastAsia="zh-TW"/>
        </w:rPr>
        <w:t>期（</w:t>
      </w:r>
      <w:r w:rsidRPr="001758F7">
        <w:rPr>
          <w:rFonts w:eastAsia="標楷體"/>
          <w:lang w:eastAsia="zh-TW"/>
        </w:rPr>
        <w:t>2008</w:t>
      </w:r>
      <w:r w:rsidRPr="001758F7">
        <w:rPr>
          <w:rFonts w:eastAsia="標楷體"/>
          <w:lang w:eastAsia="zh-TW"/>
        </w:rPr>
        <w:t>）：</w:t>
      </w:r>
      <w:r w:rsidRPr="001758F7">
        <w:rPr>
          <w:rFonts w:eastAsia="標楷體"/>
          <w:lang w:eastAsia="zh-TW"/>
        </w:rPr>
        <w:t>1</w:t>
      </w:r>
      <w:proofErr w:type="gramStart"/>
      <w:r w:rsidRPr="001758F7">
        <w:rPr>
          <w:rFonts w:eastAsia="標楷體"/>
          <w:lang w:eastAsia="zh-TW"/>
        </w:rPr>
        <w:t>–</w:t>
      </w:r>
      <w:proofErr w:type="gramEnd"/>
      <w:r w:rsidRPr="001758F7">
        <w:rPr>
          <w:rFonts w:eastAsia="標楷體"/>
          <w:lang w:eastAsia="zh-TW"/>
        </w:rPr>
        <w:t>22</w:t>
      </w:r>
      <w:r w:rsidRPr="001758F7">
        <w:rPr>
          <w:rFonts w:eastAsia="標楷體"/>
          <w:lang w:eastAsia="zh-TW"/>
        </w:rPr>
        <w:t>。</w:t>
      </w:r>
    </w:p>
    <w:p w14:paraId="07B87905" w14:textId="0AE778E5" w:rsidR="00D7515F" w:rsidRPr="001758F7" w:rsidRDefault="00D7515F" w:rsidP="00EB348F">
      <w:pPr>
        <w:pStyle w:val="a8"/>
        <w:numPr>
          <w:ilvl w:val="0"/>
          <w:numId w:val="19"/>
        </w:numPr>
        <w:spacing w:line="276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鄧敦仁，</w:t>
      </w:r>
      <w:r w:rsidRPr="001758F7">
        <w:rPr>
          <w:rFonts w:eastAsia="標楷體"/>
          <w:lang w:eastAsia="zh-TW"/>
        </w:rPr>
        <w:t>〈</w:t>
      </w:r>
      <w:r w:rsidRPr="00D7515F">
        <w:rPr>
          <w:rFonts w:eastAsia="標楷體" w:hint="eastAsia"/>
          <w:lang w:eastAsia="zh-TW"/>
        </w:rPr>
        <w:t>假設性思考與解釋關係</w:t>
      </w:r>
      <w:r w:rsidRPr="001758F7">
        <w:rPr>
          <w:rFonts w:eastAsia="標楷體"/>
          <w:lang w:eastAsia="zh-TW"/>
        </w:rPr>
        <w:t>〉</w:t>
      </w:r>
      <w:r>
        <w:rPr>
          <w:rFonts w:eastAsia="標楷體" w:hint="eastAsia"/>
          <w:lang w:eastAsia="zh-TW"/>
        </w:rPr>
        <w:t>，</w:t>
      </w:r>
      <w:r w:rsidRPr="001758F7">
        <w:rPr>
          <w:rFonts w:eastAsia="標楷體"/>
          <w:lang w:eastAsia="zh-TW"/>
        </w:rPr>
        <w:t>《</w:t>
      </w:r>
      <w:r>
        <w:rPr>
          <w:rFonts w:eastAsia="標楷體" w:hint="eastAsia"/>
          <w:lang w:eastAsia="zh-TW"/>
        </w:rPr>
        <w:t>歐美研究</w:t>
      </w:r>
      <w:r w:rsidRPr="001758F7">
        <w:rPr>
          <w:rFonts w:eastAsia="標楷體"/>
          <w:lang w:eastAsia="zh-TW"/>
        </w:rPr>
        <w:t>》</w:t>
      </w:r>
      <w:r>
        <w:rPr>
          <w:rFonts w:eastAsia="標楷體" w:hint="eastAsia"/>
          <w:lang w:eastAsia="zh-TW"/>
        </w:rPr>
        <w:t>，</w:t>
      </w:r>
      <w:r w:rsidRPr="001758F7">
        <w:rPr>
          <w:rFonts w:eastAsia="標楷體"/>
          <w:lang w:eastAsia="zh-TW"/>
        </w:rPr>
        <w:t>第</w:t>
      </w:r>
      <w:r>
        <w:rPr>
          <w:rFonts w:eastAsia="標楷體" w:hint="eastAsia"/>
          <w:lang w:eastAsia="zh-TW"/>
        </w:rPr>
        <w:t>48</w:t>
      </w:r>
      <w:r w:rsidRPr="001758F7">
        <w:rPr>
          <w:rFonts w:eastAsia="標楷體"/>
          <w:lang w:eastAsia="zh-TW"/>
        </w:rPr>
        <w:t>卷，第</w:t>
      </w:r>
      <w:r>
        <w:rPr>
          <w:rFonts w:eastAsia="標楷體" w:hint="eastAsia"/>
          <w:lang w:eastAsia="zh-TW"/>
        </w:rPr>
        <w:t>4</w:t>
      </w:r>
      <w:r w:rsidRPr="001758F7">
        <w:rPr>
          <w:rFonts w:eastAsia="標楷體"/>
          <w:lang w:eastAsia="zh-TW"/>
        </w:rPr>
        <w:t>期（</w:t>
      </w:r>
      <w:r w:rsidRPr="001758F7">
        <w:rPr>
          <w:rFonts w:eastAsia="標楷體"/>
          <w:lang w:eastAsia="zh-TW"/>
        </w:rPr>
        <w:t>20</w:t>
      </w:r>
      <w:r>
        <w:rPr>
          <w:rFonts w:eastAsia="標楷體" w:hint="eastAsia"/>
          <w:lang w:eastAsia="zh-TW"/>
        </w:rPr>
        <w:t>1</w:t>
      </w:r>
      <w:r w:rsidRPr="001758F7">
        <w:rPr>
          <w:rFonts w:eastAsia="標楷體"/>
          <w:lang w:eastAsia="zh-TW"/>
        </w:rPr>
        <w:t>8</w:t>
      </w:r>
      <w:r w:rsidRPr="001758F7">
        <w:rPr>
          <w:rFonts w:eastAsia="標楷體"/>
          <w:lang w:eastAsia="zh-TW"/>
        </w:rPr>
        <w:t>）</w:t>
      </w:r>
      <w:r>
        <w:rPr>
          <w:rFonts w:eastAsia="標楷體" w:hint="eastAsia"/>
          <w:lang w:eastAsia="zh-TW"/>
        </w:rPr>
        <w:t>：</w:t>
      </w:r>
      <w:r>
        <w:rPr>
          <w:rFonts w:eastAsia="標楷體" w:hint="eastAsia"/>
          <w:lang w:eastAsia="zh-TW"/>
        </w:rPr>
        <w:t>549</w:t>
      </w:r>
      <w:proofErr w:type="gramStart"/>
      <w:r w:rsidRPr="001758F7">
        <w:rPr>
          <w:rFonts w:eastAsia="標楷體"/>
          <w:lang w:eastAsia="zh-TW"/>
        </w:rPr>
        <w:t>–</w:t>
      </w:r>
      <w:proofErr w:type="gramEnd"/>
      <w:r>
        <w:rPr>
          <w:rFonts w:eastAsia="標楷體" w:hint="eastAsia"/>
          <w:lang w:eastAsia="zh-TW"/>
        </w:rPr>
        <w:t>590</w:t>
      </w:r>
      <w:r>
        <w:rPr>
          <w:rFonts w:eastAsia="標楷體" w:hint="eastAsia"/>
          <w:lang w:eastAsia="zh-TW"/>
        </w:rPr>
        <w:t>。</w:t>
      </w:r>
    </w:p>
    <w:p w14:paraId="671D0A16" w14:textId="77777777" w:rsidR="009D555A" w:rsidRPr="001758F7" w:rsidRDefault="009D555A" w:rsidP="00FA0D58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0FE23319" w14:textId="77777777" w:rsidR="00F8794D" w:rsidRDefault="003B2CF9" w:rsidP="005F5523">
      <w:pPr>
        <w:spacing w:line="276" w:lineRule="auto"/>
        <w:jc w:val="both"/>
        <w:rPr>
          <w:rFonts w:ascii="Times New Roman" w:eastAsia="標楷體" w:hAnsi="Times New Roman" w:cs="Times New Roman"/>
        </w:rPr>
      </w:pPr>
      <w:r w:rsidRPr="001758F7">
        <w:rPr>
          <w:rFonts w:ascii="Times New Roman" w:eastAsia="標楷體" w:hAnsi="Times New Roman" w:cs="Times New Roman"/>
        </w:rPr>
        <w:t>第二階段</w:t>
      </w:r>
    </w:p>
    <w:p w14:paraId="1C7AE9D1" w14:textId="4C03D599" w:rsidR="003B2CF9" w:rsidRPr="001758F7" w:rsidRDefault="00F8794D" w:rsidP="005F5523">
      <w:pPr>
        <w:spacing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2020</w:t>
      </w:r>
      <w:r>
        <w:rPr>
          <w:rFonts w:ascii="Times New Roman" w:eastAsia="標楷體" w:hAnsi="Times New Roman" w:cs="Times New Roman"/>
        </w:rPr>
        <w:t>/4/17</w:t>
      </w:r>
      <w:r>
        <w:rPr>
          <w:rFonts w:ascii="Times New Roman" w:eastAsia="標楷體" w:hAnsi="Times New Roman" w:cs="Times New Roman" w:hint="eastAsia"/>
        </w:rPr>
        <w:t>，</w:t>
      </w:r>
      <w:r w:rsidR="00FD23AD">
        <w:rPr>
          <w:rFonts w:ascii="Times New Roman" w:eastAsia="標楷體" w:hAnsi="Times New Roman" w:cs="Times New Roman" w:hint="eastAsia"/>
        </w:rPr>
        <w:t>形式理論</w:t>
      </w:r>
    </w:p>
    <w:p w14:paraId="368694FD" w14:textId="45E571E9" w:rsidR="00A10D5B" w:rsidRDefault="00A10D5B" w:rsidP="003B2CF9">
      <w:pPr>
        <w:pStyle w:val="a8"/>
        <w:numPr>
          <w:ilvl w:val="0"/>
          <w:numId w:val="9"/>
        </w:numPr>
        <w:jc w:val="both"/>
        <w:rPr>
          <w:rFonts w:eastAsia="標楷體"/>
          <w:color w:val="000000" w:themeColor="text1"/>
          <w:lang w:eastAsia="zh-TW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>,</w:t>
      </w:r>
      <w:r>
        <w:rPr>
          <w:rFonts w:eastAsia="標楷體"/>
        </w:rPr>
        <w:t xml:space="preserve"> </w:t>
      </w:r>
      <w:r w:rsidRPr="001758F7">
        <w:rPr>
          <w:rFonts w:eastAsia="標楷體"/>
        </w:rPr>
        <w:t>Ch. 9</w:t>
      </w:r>
      <w:r w:rsidRPr="001758F7">
        <w:rPr>
          <w:rFonts w:eastAsia="標楷體"/>
          <w:lang w:eastAsia="zh-TW"/>
        </w:rPr>
        <w:t>: “Causal Analysis.”</w:t>
      </w:r>
    </w:p>
    <w:p w14:paraId="3268B531" w14:textId="6A39628C" w:rsidR="003B2CF9" w:rsidRDefault="003B2CF9" w:rsidP="003B2CF9">
      <w:pPr>
        <w:pStyle w:val="a8"/>
        <w:numPr>
          <w:ilvl w:val="0"/>
          <w:numId w:val="9"/>
        </w:numPr>
        <w:jc w:val="both"/>
        <w:rPr>
          <w:rFonts w:eastAsia="標楷體"/>
          <w:color w:val="000000" w:themeColor="text1"/>
          <w:lang w:eastAsia="zh-TW"/>
        </w:rPr>
      </w:pPr>
      <w:r w:rsidRPr="00AD29E0">
        <w:rPr>
          <w:rFonts w:eastAsia="標楷體"/>
          <w:color w:val="000000" w:themeColor="text1"/>
        </w:rPr>
        <w:t xml:space="preserve">Morris P. Fiorina, “Formal Models in Political Science,” </w:t>
      </w:r>
      <w:r w:rsidRPr="00AD29E0">
        <w:rPr>
          <w:rFonts w:eastAsia="標楷體"/>
          <w:i/>
          <w:iCs/>
          <w:color w:val="000000" w:themeColor="text1"/>
        </w:rPr>
        <w:t>American Journal of Political Science</w:t>
      </w:r>
      <w:r w:rsidRPr="00AD29E0">
        <w:rPr>
          <w:rFonts w:eastAsia="標楷體"/>
          <w:color w:val="000000" w:themeColor="text1"/>
        </w:rPr>
        <w:t xml:space="preserve"> </w:t>
      </w:r>
      <w:r w:rsidR="00E73856" w:rsidRPr="00AD29E0">
        <w:rPr>
          <w:rFonts w:eastAsia="標楷體"/>
          <w:color w:val="000000" w:themeColor="text1"/>
        </w:rPr>
        <w:t xml:space="preserve">vol. </w:t>
      </w:r>
      <w:r w:rsidRPr="00AD29E0">
        <w:rPr>
          <w:rFonts w:eastAsia="標楷體"/>
          <w:color w:val="000000" w:themeColor="text1"/>
        </w:rPr>
        <w:t>19, no. 1 (1975): 133–159</w:t>
      </w:r>
      <w:r w:rsidRPr="00AD29E0">
        <w:rPr>
          <w:rFonts w:eastAsia="標楷體"/>
          <w:color w:val="000000" w:themeColor="text1"/>
          <w:lang w:eastAsia="zh-TW"/>
        </w:rPr>
        <w:t>.</w:t>
      </w:r>
    </w:p>
    <w:p w14:paraId="5AE7376D" w14:textId="77777777" w:rsidR="00AB41BE" w:rsidRDefault="00AB41BE" w:rsidP="00AB41BE">
      <w:pPr>
        <w:pStyle w:val="a8"/>
        <w:numPr>
          <w:ilvl w:val="0"/>
          <w:numId w:val="9"/>
        </w:numPr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林繼文，</w:t>
      </w:r>
      <w:proofErr w:type="gramStart"/>
      <w:r w:rsidRPr="001758F7">
        <w:rPr>
          <w:rFonts w:eastAsia="標楷體"/>
          <w:lang w:eastAsia="zh-TW"/>
        </w:rPr>
        <w:t>〈</w:t>
      </w:r>
      <w:proofErr w:type="gramEnd"/>
      <w:r w:rsidRPr="002F24E5">
        <w:rPr>
          <w:rFonts w:eastAsia="標楷體" w:hint="eastAsia"/>
          <w:lang w:eastAsia="zh-TW"/>
        </w:rPr>
        <w:t>虛假霸權：台灣政治學研究中的理性選擇</w:t>
      </w:r>
      <w:proofErr w:type="gramStart"/>
      <w:r w:rsidRPr="001758F7">
        <w:rPr>
          <w:rFonts w:eastAsia="標楷體"/>
          <w:lang w:eastAsia="zh-TW"/>
        </w:rPr>
        <w:t>〉</w:t>
      </w:r>
      <w:proofErr w:type="gramEnd"/>
      <w:r>
        <w:rPr>
          <w:rFonts w:eastAsia="標楷體" w:hint="eastAsia"/>
          <w:lang w:eastAsia="zh-TW"/>
        </w:rPr>
        <w:t>，</w:t>
      </w:r>
      <w:r w:rsidRPr="001758F7">
        <w:rPr>
          <w:rFonts w:eastAsia="標楷體"/>
          <w:lang w:eastAsia="zh-TW"/>
        </w:rPr>
        <w:t>《</w:t>
      </w:r>
      <w:r>
        <w:rPr>
          <w:rFonts w:eastAsia="標楷體" w:hint="eastAsia"/>
          <w:lang w:eastAsia="zh-TW"/>
        </w:rPr>
        <w:t>政治科學論叢</w:t>
      </w:r>
      <w:r w:rsidRPr="001758F7">
        <w:rPr>
          <w:rFonts w:eastAsia="標楷體"/>
          <w:lang w:eastAsia="zh-TW"/>
        </w:rPr>
        <w:t>》</w:t>
      </w:r>
      <w:r>
        <w:rPr>
          <w:rFonts w:eastAsia="標楷體" w:hint="eastAsia"/>
          <w:lang w:eastAsia="zh-TW"/>
        </w:rPr>
        <w:t>，第</w:t>
      </w:r>
      <w:r>
        <w:rPr>
          <w:rFonts w:eastAsia="標楷體" w:hint="eastAsia"/>
          <w:lang w:eastAsia="zh-TW"/>
        </w:rPr>
        <w:t>25</w:t>
      </w:r>
      <w:r>
        <w:rPr>
          <w:rFonts w:eastAsia="標楷體" w:hint="eastAsia"/>
          <w:lang w:eastAsia="zh-TW"/>
        </w:rPr>
        <w:t>期（</w:t>
      </w:r>
      <w:r>
        <w:rPr>
          <w:rFonts w:eastAsia="標楷體" w:hint="eastAsia"/>
          <w:lang w:eastAsia="zh-TW"/>
        </w:rPr>
        <w:t>2005</w:t>
      </w:r>
      <w:r>
        <w:rPr>
          <w:rFonts w:eastAsia="標楷體" w:hint="eastAsia"/>
          <w:lang w:eastAsia="zh-TW"/>
        </w:rPr>
        <w:t>）：</w:t>
      </w:r>
      <w:r>
        <w:rPr>
          <w:rFonts w:eastAsia="標楷體" w:hint="eastAsia"/>
          <w:lang w:eastAsia="zh-TW"/>
        </w:rPr>
        <w:t>67</w:t>
      </w:r>
      <w:proofErr w:type="gramStart"/>
      <w:r w:rsidRPr="001758F7">
        <w:rPr>
          <w:rFonts w:eastAsia="標楷體"/>
          <w:lang w:eastAsia="zh-TW"/>
        </w:rPr>
        <w:t>–</w:t>
      </w:r>
      <w:proofErr w:type="gramEnd"/>
      <w:r>
        <w:rPr>
          <w:rFonts w:eastAsia="標楷體" w:hint="eastAsia"/>
          <w:lang w:eastAsia="zh-TW"/>
        </w:rPr>
        <w:t>104</w:t>
      </w:r>
      <w:r w:rsidRPr="001758F7">
        <w:rPr>
          <w:rFonts w:eastAsia="標楷體"/>
          <w:lang w:eastAsia="zh-TW"/>
        </w:rPr>
        <w:t>。</w:t>
      </w:r>
    </w:p>
    <w:p w14:paraId="03D828E9" w14:textId="359D0F47" w:rsidR="00AB41BE" w:rsidRPr="00AB41BE" w:rsidRDefault="00AB41BE" w:rsidP="00AB41BE">
      <w:pPr>
        <w:pStyle w:val="a8"/>
        <w:numPr>
          <w:ilvl w:val="0"/>
          <w:numId w:val="9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石</w:t>
      </w:r>
      <w:proofErr w:type="gramStart"/>
      <w:r w:rsidRPr="001758F7">
        <w:rPr>
          <w:rFonts w:eastAsia="標楷體"/>
          <w:lang w:eastAsia="zh-TW"/>
        </w:rPr>
        <w:t>之瑜，</w:t>
      </w:r>
      <w:proofErr w:type="gramEnd"/>
      <w:r w:rsidRPr="001758F7">
        <w:rPr>
          <w:rFonts w:eastAsia="標楷體"/>
          <w:lang w:eastAsia="zh-TW"/>
        </w:rPr>
        <w:t>〈政治科學中形式理論的運用與瓶頸</w:t>
      </w:r>
      <w:r w:rsidRPr="001758F7">
        <w:rPr>
          <w:rFonts w:eastAsia="標楷體"/>
          <w:lang w:eastAsia="zh-TW"/>
        </w:rPr>
        <w:t>—</w:t>
      </w:r>
      <w:r w:rsidRPr="001758F7">
        <w:rPr>
          <w:rFonts w:eastAsia="標楷體"/>
          <w:lang w:eastAsia="zh-TW"/>
        </w:rPr>
        <w:t>從賽局理論談起〉，《東吳政治學報》，第</w:t>
      </w:r>
      <w:r w:rsidRPr="001758F7">
        <w:rPr>
          <w:rFonts w:eastAsia="標楷體"/>
          <w:lang w:eastAsia="zh-TW"/>
        </w:rPr>
        <w:t>17</w:t>
      </w:r>
      <w:r w:rsidRPr="001758F7">
        <w:rPr>
          <w:rFonts w:eastAsia="標楷體"/>
          <w:lang w:eastAsia="zh-TW"/>
        </w:rPr>
        <w:t>期（</w:t>
      </w:r>
      <w:r w:rsidRPr="001758F7">
        <w:rPr>
          <w:rFonts w:eastAsia="標楷體"/>
          <w:lang w:eastAsia="zh-TW"/>
        </w:rPr>
        <w:t>2003</w:t>
      </w:r>
      <w:r w:rsidRPr="001758F7">
        <w:rPr>
          <w:rFonts w:eastAsia="標楷體"/>
          <w:lang w:eastAsia="zh-TW"/>
        </w:rPr>
        <w:t>）：</w:t>
      </w:r>
      <w:r w:rsidRPr="001758F7">
        <w:rPr>
          <w:rFonts w:eastAsia="標楷體"/>
          <w:lang w:eastAsia="zh-TW"/>
        </w:rPr>
        <w:t>1</w:t>
      </w:r>
      <w:proofErr w:type="gramStart"/>
      <w:r w:rsidRPr="001758F7">
        <w:rPr>
          <w:rFonts w:eastAsia="標楷體"/>
          <w:lang w:eastAsia="zh-TW"/>
        </w:rPr>
        <w:t>–</w:t>
      </w:r>
      <w:proofErr w:type="gramEnd"/>
      <w:r w:rsidRPr="001758F7">
        <w:rPr>
          <w:rFonts w:eastAsia="標楷體"/>
          <w:lang w:eastAsia="zh-TW"/>
        </w:rPr>
        <w:t>19</w:t>
      </w:r>
      <w:r w:rsidRPr="001758F7">
        <w:rPr>
          <w:rFonts w:eastAsia="標楷體"/>
          <w:lang w:eastAsia="zh-TW"/>
        </w:rPr>
        <w:t>。</w:t>
      </w:r>
    </w:p>
    <w:p w14:paraId="0E68B040" w14:textId="6377BF78" w:rsidR="003B2CF9" w:rsidRDefault="003B2CF9" w:rsidP="003B2CF9">
      <w:pPr>
        <w:jc w:val="both"/>
        <w:rPr>
          <w:rFonts w:ascii="Times New Roman" w:eastAsia="標楷體" w:hAnsi="Times New Roman" w:cs="Times New Roman"/>
        </w:rPr>
      </w:pPr>
    </w:p>
    <w:p w14:paraId="03F940D4" w14:textId="2902B9EA" w:rsidR="00376E14" w:rsidRPr="001758F7" w:rsidRDefault="00376E14" w:rsidP="003B2CF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2020</w:t>
      </w:r>
      <w:r>
        <w:rPr>
          <w:rFonts w:ascii="Times New Roman" w:eastAsia="標楷體" w:hAnsi="Times New Roman" w:cs="Times New Roman"/>
        </w:rPr>
        <w:t>/4/24</w:t>
      </w:r>
      <w:r>
        <w:rPr>
          <w:rFonts w:ascii="Times New Roman" w:eastAsia="標楷體" w:hAnsi="Times New Roman" w:cs="Times New Roman" w:hint="eastAsia"/>
        </w:rPr>
        <w:t>，實驗法</w:t>
      </w:r>
    </w:p>
    <w:p w14:paraId="0E192D99" w14:textId="749FECB8" w:rsidR="00A10D5B" w:rsidRPr="00A10D5B" w:rsidRDefault="00A10D5B" w:rsidP="00A10D5B">
      <w:pPr>
        <w:pStyle w:val="a8"/>
        <w:numPr>
          <w:ilvl w:val="0"/>
          <w:numId w:val="10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>, Ch. 10</w:t>
      </w:r>
      <w:r w:rsidRPr="001758F7">
        <w:rPr>
          <w:rFonts w:eastAsia="標楷體"/>
          <w:lang w:eastAsia="zh-TW"/>
        </w:rPr>
        <w:t>: “Causal Strategies: X and Y.”</w:t>
      </w:r>
    </w:p>
    <w:p w14:paraId="62134E84" w14:textId="6FCFB329" w:rsidR="00DC7569" w:rsidRPr="001758F7" w:rsidRDefault="00DC7569" w:rsidP="00DC7569">
      <w:pPr>
        <w:pStyle w:val="a8"/>
        <w:numPr>
          <w:ilvl w:val="0"/>
          <w:numId w:val="10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Rose McDermott, “Experimental Methods in Political Science,” </w:t>
      </w:r>
      <w:r w:rsidRPr="001758F7">
        <w:rPr>
          <w:rFonts w:eastAsia="標楷體"/>
          <w:i/>
          <w:iCs/>
        </w:rPr>
        <w:t>Annual Review of Political Science</w:t>
      </w:r>
      <w:r w:rsidRPr="001758F7">
        <w:rPr>
          <w:rFonts w:eastAsia="標楷體"/>
        </w:rPr>
        <w:t xml:space="preserve"> </w:t>
      </w:r>
      <w:r w:rsidR="00E73856" w:rsidRPr="001758F7">
        <w:rPr>
          <w:rFonts w:eastAsia="標楷體"/>
        </w:rPr>
        <w:t xml:space="preserve">vol. </w:t>
      </w:r>
      <w:r w:rsidRPr="001758F7">
        <w:rPr>
          <w:rFonts w:eastAsia="標楷體"/>
        </w:rPr>
        <w:t>5, no. 1 (2002): 31–61.</w:t>
      </w:r>
    </w:p>
    <w:p w14:paraId="19B80701" w14:textId="7AB3704C" w:rsidR="00DC7569" w:rsidRPr="001758F7" w:rsidRDefault="00DC7569" w:rsidP="00DC7569">
      <w:pPr>
        <w:pStyle w:val="a8"/>
        <w:numPr>
          <w:ilvl w:val="0"/>
          <w:numId w:val="10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Thad Dunning, “Improving Causal Inference: Strengths and Limitations of Natural Experiments,” </w:t>
      </w:r>
      <w:r w:rsidRPr="001758F7">
        <w:rPr>
          <w:rFonts w:eastAsia="標楷體"/>
          <w:i/>
          <w:iCs/>
        </w:rPr>
        <w:t>Political Research Quarterly</w:t>
      </w:r>
      <w:r w:rsidRPr="001758F7">
        <w:rPr>
          <w:rFonts w:eastAsia="標楷體"/>
        </w:rPr>
        <w:t xml:space="preserve"> </w:t>
      </w:r>
      <w:r w:rsidR="00E73856" w:rsidRPr="001758F7">
        <w:rPr>
          <w:rFonts w:eastAsia="標楷體"/>
        </w:rPr>
        <w:t xml:space="preserve">vol. </w:t>
      </w:r>
      <w:r w:rsidRPr="001758F7">
        <w:rPr>
          <w:rFonts w:eastAsia="標楷體"/>
        </w:rPr>
        <w:t>61, no. 2 (2008): 282–293</w:t>
      </w:r>
      <w:r w:rsidRPr="001758F7">
        <w:rPr>
          <w:rFonts w:eastAsia="標楷體"/>
          <w:lang w:eastAsia="zh-TW"/>
        </w:rPr>
        <w:t>.</w:t>
      </w:r>
    </w:p>
    <w:p w14:paraId="2281F211" w14:textId="13FE6DBD" w:rsidR="00DC7569" w:rsidRPr="001758F7" w:rsidRDefault="00DC7569" w:rsidP="00DC7569">
      <w:pPr>
        <w:pStyle w:val="a8"/>
        <w:numPr>
          <w:ilvl w:val="0"/>
          <w:numId w:val="10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Brian J. Gaines, James H. Kuklinski, and Paul J. Quirk, “The Logic of the Survey Experiment Reexamined,” </w:t>
      </w:r>
      <w:r w:rsidRPr="001758F7">
        <w:rPr>
          <w:rFonts w:eastAsia="標楷體"/>
          <w:i/>
          <w:iCs/>
        </w:rPr>
        <w:t>Political Analysis</w:t>
      </w:r>
      <w:r w:rsidRPr="001758F7">
        <w:rPr>
          <w:rFonts w:eastAsia="標楷體"/>
        </w:rPr>
        <w:t xml:space="preserve"> </w:t>
      </w:r>
      <w:r w:rsidR="00E73856" w:rsidRPr="001758F7">
        <w:rPr>
          <w:rFonts w:eastAsia="標楷體"/>
        </w:rPr>
        <w:t xml:space="preserve">vol. </w:t>
      </w:r>
      <w:r w:rsidRPr="001758F7">
        <w:rPr>
          <w:rFonts w:eastAsia="標楷體"/>
        </w:rPr>
        <w:t>15, no. 1 (2007): 1–20</w:t>
      </w:r>
      <w:r w:rsidRPr="001758F7">
        <w:rPr>
          <w:rFonts w:eastAsia="標楷體"/>
          <w:lang w:eastAsia="zh-TW"/>
        </w:rPr>
        <w:t>.</w:t>
      </w:r>
      <w:r w:rsidR="009601B7" w:rsidRPr="001758F7">
        <w:rPr>
          <w:rFonts w:eastAsia="標楷體"/>
          <w:lang w:eastAsia="zh-TW"/>
        </w:rPr>
        <w:t xml:space="preserve"> </w:t>
      </w:r>
    </w:p>
    <w:p w14:paraId="21C7AB94" w14:textId="1B15941D" w:rsidR="003B2CF9" w:rsidRDefault="003B2CF9" w:rsidP="003B2CF9">
      <w:pPr>
        <w:jc w:val="both"/>
        <w:rPr>
          <w:rFonts w:ascii="Times New Roman" w:eastAsia="標楷體" w:hAnsi="Times New Roman" w:cs="Times New Roman"/>
        </w:rPr>
      </w:pPr>
    </w:p>
    <w:p w14:paraId="25DFEB49" w14:textId="080E1A17" w:rsidR="00FD23AD" w:rsidRDefault="00FD23AD" w:rsidP="003B2CF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2020/</w:t>
      </w:r>
      <w:r w:rsidR="00376E14"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/>
        </w:rPr>
        <w:t>/</w:t>
      </w:r>
      <w:r w:rsidR="00376E14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，問卷調查法與統計分析法</w:t>
      </w:r>
    </w:p>
    <w:p w14:paraId="316334B0" w14:textId="587F9AC0" w:rsidR="008E6E02" w:rsidRPr="001758F7" w:rsidRDefault="008E6E02" w:rsidP="008E6E02">
      <w:pPr>
        <w:pStyle w:val="a8"/>
        <w:numPr>
          <w:ilvl w:val="0"/>
          <w:numId w:val="11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>, Ch</w:t>
      </w:r>
      <w:r w:rsidR="00AB358D" w:rsidRPr="001758F7">
        <w:rPr>
          <w:rFonts w:eastAsia="標楷體"/>
        </w:rPr>
        <w:t>.</w:t>
      </w:r>
      <w:r w:rsidRPr="001758F7">
        <w:rPr>
          <w:rFonts w:eastAsia="標楷體"/>
        </w:rPr>
        <w:t xml:space="preserve"> 11</w:t>
      </w:r>
      <w:r w:rsidRPr="001758F7">
        <w:rPr>
          <w:rFonts w:eastAsia="標楷體"/>
          <w:lang w:eastAsia="zh-TW"/>
        </w:rPr>
        <w:t>: “Causal Strategies: Beyond X and Y”</w:t>
      </w:r>
      <w:r w:rsidRPr="001758F7">
        <w:rPr>
          <w:rFonts w:eastAsia="標楷體"/>
        </w:rPr>
        <w:t>.</w:t>
      </w:r>
    </w:p>
    <w:p w14:paraId="1620AB6E" w14:textId="3A5A987D" w:rsidR="00DB02D9" w:rsidRPr="001758F7" w:rsidRDefault="00DB02D9" w:rsidP="008E6E02">
      <w:pPr>
        <w:pStyle w:val="a8"/>
        <w:numPr>
          <w:ilvl w:val="0"/>
          <w:numId w:val="11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 xml:space="preserve">Henry E. Brady, “Contributions of Survey Research to Political Science,” </w:t>
      </w:r>
      <w:r w:rsidRPr="001758F7">
        <w:rPr>
          <w:rFonts w:eastAsia="標楷體"/>
          <w:i/>
          <w:iCs/>
          <w:lang w:eastAsia="zh-TW"/>
        </w:rPr>
        <w:t>PS: Political Science and Politics</w:t>
      </w:r>
      <w:r w:rsidRPr="001758F7">
        <w:rPr>
          <w:rFonts w:eastAsia="標楷體"/>
          <w:lang w:eastAsia="zh-TW"/>
        </w:rPr>
        <w:t xml:space="preserve"> vol. 33, no. 1 (2000): </w:t>
      </w:r>
      <w:r w:rsidR="0050749B" w:rsidRPr="001758F7">
        <w:rPr>
          <w:rFonts w:eastAsia="標楷體"/>
          <w:lang w:eastAsia="zh-TW"/>
        </w:rPr>
        <w:t>1</w:t>
      </w:r>
      <w:r w:rsidRPr="001758F7">
        <w:rPr>
          <w:rFonts w:eastAsia="標楷體"/>
          <w:lang w:eastAsia="zh-TW"/>
        </w:rPr>
        <w:t>47</w:t>
      </w:r>
      <w:r w:rsidRPr="001758F7">
        <w:rPr>
          <w:rFonts w:eastAsia="標楷體"/>
        </w:rPr>
        <w:t>–1</w:t>
      </w:r>
      <w:r w:rsidRPr="001758F7">
        <w:rPr>
          <w:rFonts w:eastAsia="標楷體"/>
          <w:lang w:eastAsia="zh-TW"/>
        </w:rPr>
        <w:t>57.</w:t>
      </w:r>
    </w:p>
    <w:p w14:paraId="4098BB57" w14:textId="38C7A4E3" w:rsidR="00825683" w:rsidRPr="001758F7" w:rsidRDefault="00825683" w:rsidP="008E6E02">
      <w:pPr>
        <w:pStyle w:val="a8"/>
        <w:numPr>
          <w:ilvl w:val="0"/>
          <w:numId w:val="11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林澤民，</w:t>
      </w:r>
      <w:proofErr w:type="gramStart"/>
      <w:r w:rsidRPr="001758F7">
        <w:rPr>
          <w:rFonts w:eastAsia="標楷體"/>
          <w:lang w:eastAsia="zh-TW"/>
        </w:rPr>
        <w:t>〈</w:t>
      </w:r>
      <w:proofErr w:type="gramEnd"/>
      <w:r w:rsidRPr="001758F7">
        <w:rPr>
          <w:rFonts w:eastAsia="標楷體"/>
          <w:lang w:eastAsia="zh-TW"/>
        </w:rPr>
        <w:t>看電影學統計</w:t>
      </w:r>
      <w:r w:rsidRPr="001758F7">
        <w:rPr>
          <w:rFonts w:eastAsia="標楷體"/>
          <w:lang w:eastAsia="zh-TW"/>
        </w:rPr>
        <w:t>: p</w:t>
      </w:r>
      <w:r w:rsidRPr="001758F7">
        <w:rPr>
          <w:rFonts w:eastAsia="標楷體"/>
          <w:lang w:eastAsia="zh-TW"/>
        </w:rPr>
        <w:t>值的陷阱</w:t>
      </w:r>
      <w:proofErr w:type="gramStart"/>
      <w:r w:rsidRPr="001758F7">
        <w:rPr>
          <w:rFonts w:eastAsia="標楷體"/>
          <w:lang w:eastAsia="zh-TW"/>
        </w:rPr>
        <w:t>〉</w:t>
      </w:r>
      <w:proofErr w:type="gramEnd"/>
      <w:r w:rsidRPr="001758F7">
        <w:rPr>
          <w:rFonts w:eastAsia="標楷體"/>
          <w:lang w:eastAsia="zh-TW"/>
        </w:rPr>
        <w:t>，《社會科學論叢》，第</w:t>
      </w:r>
      <w:r w:rsidRPr="001758F7">
        <w:rPr>
          <w:rFonts w:eastAsia="標楷體"/>
          <w:lang w:eastAsia="zh-TW"/>
        </w:rPr>
        <w:t>10</w:t>
      </w:r>
      <w:r w:rsidRPr="001758F7">
        <w:rPr>
          <w:rFonts w:eastAsia="標楷體"/>
          <w:lang w:eastAsia="zh-TW"/>
        </w:rPr>
        <w:t>卷，第</w:t>
      </w:r>
      <w:r w:rsidRPr="001758F7">
        <w:rPr>
          <w:rFonts w:eastAsia="標楷體"/>
          <w:lang w:eastAsia="zh-TW"/>
        </w:rPr>
        <w:t>2</w:t>
      </w:r>
      <w:r w:rsidRPr="001758F7">
        <w:rPr>
          <w:rFonts w:eastAsia="標楷體"/>
          <w:lang w:eastAsia="zh-TW"/>
        </w:rPr>
        <w:t>期（</w:t>
      </w:r>
      <w:r w:rsidRPr="001758F7">
        <w:rPr>
          <w:rFonts w:eastAsia="標楷體"/>
          <w:lang w:eastAsia="zh-TW"/>
        </w:rPr>
        <w:t>2016</w:t>
      </w:r>
      <w:r w:rsidRPr="001758F7">
        <w:rPr>
          <w:rFonts w:eastAsia="標楷體"/>
          <w:lang w:eastAsia="zh-TW"/>
        </w:rPr>
        <w:t>）：</w:t>
      </w:r>
      <w:r w:rsidRPr="001758F7">
        <w:rPr>
          <w:rFonts w:eastAsia="標楷體"/>
          <w:lang w:eastAsia="zh-TW"/>
        </w:rPr>
        <w:t>I</w:t>
      </w:r>
      <w:proofErr w:type="gramStart"/>
      <w:r w:rsidRPr="001758F7">
        <w:rPr>
          <w:rFonts w:eastAsia="標楷體"/>
          <w:lang w:eastAsia="zh-TW"/>
        </w:rPr>
        <w:t>–</w:t>
      </w:r>
      <w:proofErr w:type="gramEnd"/>
      <w:r w:rsidRPr="001758F7">
        <w:rPr>
          <w:rFonts w:eastAsia="標楷體"/>
          <w:lang w:eastAsia="zh-TW"/>
        </w:rPr>
        <w:t>XXV</w:t>
      </w:r>
      <w:r w:rsidRPr="001758F7">
        <w:rPr>
          <w:rFonts w:eastAsia="標楷體"/>
          <w:lang w:eastAsia="zh-TW"/>
        </w:rPr>
        <w:t>。</w:t>
      </w:r>
    </w:p>
    <w:p w14:paraId="378B1965" w14:textId="0E8558C5" w:rsidR="009C20D4" w:rsidRPr="001758F7" w:rsidRDefault="008E6E02" w:rsidP="00825683">
      <w:pPr>
        <w:pStyle w:val="a8"/>
        <w:numPr>
          <w:ilvl w:val="0"/>
          <w:numId w:val="11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Gary King, Michael </w:t>
      </w:r>
      <w:proofErr w:type="spellStart"/>
      <w:r w:rsidRPr="001758F7">
        <w:rPr>
          <w:rFonts w:eastAsia="標楷體"/>
        </w:rPr>
        <w:t>Tomz</w:t>
      </w:r>
      <w:proofErr w:type="spellEnd"/>
      <w:r w:rsidRPr="001758F7">
        <w:rPr>
          <w:rFonts w:eastAsia="標楷體"/>
        </w:rPr>
        <w:t xml:space="preserve">, and Jason Wittenberg, “Making the Most of Statistical Analyses: Improving Interpretation and Presentation,” </w:t>
      </w:r>
      <w:r w:rsidRPr="001758F7">
        <w:rPr>
          <w:rFonts w:eastAsia="標楷體"/>
          <w:i/>
          <w:iCs/>
        </w:rPr>
        <w:t>American Journal of Political Science</w:t>
      </w:r>
      <w:r w:rsidRPr="001758F7">
        <w:rPr>
          <w:rFonts w:eastAsia="標楷體"/>
        </w:rPr>
        <w:t xml:space="preserve"> </w:t>
      </w:r>
      <w:r w:rsidR="00E73856" w:rsidRPr="001758F7">
        <w:rPr>
          <w:rFonts w:eastAsia="標楷體"/>
        </w:rPr>
        <w:t xml:space="preserve">vol. </w:t>
      </w:r>
      <w:r w:rsidRPr="001758F7">
        <w:rPr>
          <w:rFonts w:eastAsia="標楷體"/>
        </w:rPr>
        <w:t>44 (</w:t>
      </w:r>
      <w:r w:rsidR="00E73856" w:rsidRPr="001758F7">
        <w:rPr>
          <w:rFonts w:eastAsia="標楷體"/>
        </w:rPr>
        <w:t>2000</w:t>
      </w:r>
      <w:r w:rsidRPr="001758F7">
        <w:rPr>
          <w:rFonts w:eastAsia="標楷體"/>
        </w:rPr>
        <w:t>): 341–355.</w:t>
      </w:r>
    </w:p>
    <w:p w14:paraId="2349D7BE" w14:textId="7288917E" w:rsidR="003B2CF9" w:rsidRDefault="003B2CF9" w:rsidP="003B2CF9">
      <w:pPr>
        <w:jc w:val="both"/>
        <w:rPr>
          <w:rFonts w:ascii="Times New Roman" w:eastAsia="標楷體" w:hAnsi="Times New Roman" w:cs="Times New Roman"/>
        </w:rPr>
      </w:pPr>
    </w:p>
    <w:p w14:paraId="419453BC" w14:textId="17256AB8" w:rsidR="00FD23AD" w:rsidRPr="001758F7" w:rsidRDefault="00FD23AD" w:rsidP="003B2CF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2</w:t>
      </w:r>
      <w:r>
        <w:rPr>
          <w:rFonts w:ascii="Times New Roman" w:eastAsia="標楷體" w:hAnsi="Times New Roman" w:cs="Times New Roman"/>
        </w:rPr>
        <w:t>020/5/</w:t>
      </w:r>
      <w:r w:rsidR="00376E14">
        <w:rPr>
          <w:rFonts w:ascii="Times New Roman" w:eastAsia="標楷體" w:hAnsi="Times New Roman" w:cs="Times New Roman"/>
        </w:rPr>
        <w:t>8</w:t>
      </w:r>
      <w:r>
        <w:rPr>
          <w:rFonts w:ascii="Times New Roman" w:eastAsia="標楷體" w:hAnsi="Times New Roman" w:cs="Times New Roman" w:hint="eastAsia"/>
        </w:rPr>
        <w:t>，質化與量化文本分析法</w:t>
      </w:r>
    </w:p>
    <w:p w14:paraId="03657C68" w14:textId="77777777" w:rsidR="007A3B9C" w:rsidRDefault="00CE3CBE" w:rsidP="007A3B9C">
      <w:pPr>
        <w:pStyle w:val="a8"/>
        <w:numPr>
          <w:ilvl w:val="0"/>
          <w:numId w:val="21"/>
        </w:numPr>
        <w:jc w:val="both"/>
        <w:rPr>
          <w:rFonts w:eastAsia="標楷體"/>
          <w:lang w:eastAsia="zh-TW"/>
        </w:rPr>
      </w:pPr>
      <w:r w:rsidRPr="007A3B9C">
        <w:rPr>
          <w:rFonts w:eastAsia="標楷體"/>
          <w:lang w:eastAsia="zh-TW"/>
        </w:rPr>
        <w:t>劉正山，〈厚資料與意義探勘專刊導論〉</w:t>
      </w:r>
      <w:r w:rsidR="00DD1125" w:rsidRPr="007A3B9C">
        <w:rPr>
          <w:rFonts w:eastAsia="標楷體"/>
          <w:lang w:eastAsia="zh-TW"/>
        </w:rPr>
        <w:t>，《問題與研究》第</w:t>
      </w:r>
      <w:r w:rsidR="00DD1125" w:rsidRPr="007A3B9C">
        <w:rPr>
          <w:rFonts w:eastAsia="標楷體"/>
          <w:lang w:eastAsia="zh-TW"/>
        </w:rPr>
        <w:t>58</w:t>
      </w:r>
      <w:r w:rsidR="00DD1125" w:rsidRPr="007A3B9C">
        <w:rPr>
          <w:rFonts w:eastAsia="標楷體"/>
          <w:lang w:eastAsia="zh-TW"/>
        </w:rPr>
        <w:t>卷，第</w:t>
      </w:r>
      <w:r w:rsidR="00DD1125" w:rsidRPr="007A3B9C">
        <w:rPr>
          <w:rFonts w:eastAsia="標楷體"/>
          <w:lang w:eastAsia="zh-TW"/>
        </w:rPr>
        <w:t>2</w:t>
      </w:r>
      <w:r w:rsidR="00DD1125" w:rsidRPr="007A3B9C">
        <w:rPr>
          <w:rFonts w:eastAsia="標楷體"/>
          <w:lang w:eastAsia="zh-TW"/>
        </w:rPr>
        <w:t>期（</w:t>
      </w:r>
      <w:r w:rsidR="00DD1125" w:rsidRPr="007A3B9C">
        <w:rPr>
          <w:rFonts w:eastAsia="標楷體"/>
          <w:lang w:eastAsia="zh-TW"/>
        </w:rPr>
        <w:t>2019</w:t>
      </w:r>
      <w:r w:rsidR="00DD1125" w:rsidRPr="007A3B9C">
        <w:rPr>
          <w:rFonts w:eastAsia="標楷體"/>
          <w:lang w:eastAsia="zh-TW"/>
        </w:rPr>
        <w:t>）：</w:t>
      </w:r>
      <w:r w:rsidR="00DD1125" w:rsidRPr="007A3B9C">
        <w:rPr>
          <w:rFonts w:eastAsia="標楷體"/>
          <w:lang w:eastAsia="zh-TW"/>
        </w:rPr>
        <w:t>I</w:t>
      </w:r>
      <w:proofErr w:type="gramStart"/>
      <w:r w:rsidR="00DD1125" w:rsidRPr="007A3B9C">
        <w:rPr>
          <w:rFonts w:eastAsia="標楷體"/>
          <w:lang w:eastAsia="zh-TW"/>
        </w:rPr>
        <w:t>–</w:t>
      </w:r>
      <w:proofErr w:type="gramEnd"/>
      <w:r w:rsidR="00DD1125" w:rsidRPr="007A3B9C">
        <w:rPr>
          <w:rFonts w:eastAsia="標楷體"/>
          <w:lang w:eastAsia="zh-TW"/>
        </w:rPr>
        <w:t>VI</w:t>
      </w:r>
      <w:r w:rsidR="00DD1125" w:rsidRPr="007A3B9C">
        <w:rPr>
          <w:rFonts w:eastAsia="標楷體"/>
          <w:lang w:eastAsia="zh-TW"/>
        </w:rPr>
        <w:t>。</w:t>
      </w:r>
    </w:p>
    <w:p w14:paraId="069EE72B" w14:textId="77777777" w:rsidR="007A3B9C" w:rsidRDefault="008E6E02" w:rsidP="007A3B9C">
      <w:pPr>
        <w:pStyle w:val="a8"/>
        <w:numPr>
          <w:ilvl w:val="0"/>
          <w:numId w:val="21"/>
        </w:numPr>
        <w:jc w:val="both"/>
        <w:rPr>
          <w:rFonts w:eastAsia="標楷體"/>
          <w:lang w:eastAsia="zh-TW"/>
        </w:rPr>
      </w:pPr>
      <w:r w:rsidRPr="007A3B9C">
        <w:rPr>
          <w:rFonts w:eastAsia="標楷體"/>
        </w:rPr>
        <w:t xml:space="preserve">Justin Grimmer and Brandon M. Stewart, “Text as Data: The Promise and Pitfalls of Automatic Content Analysis Methods for Political Texts,” </w:t>
      </w:r>
      <w:r w:rsidRPr="007A3B9C">
        <w:rPr>
          <w:rFonts w:eastAsia="標楷體"/>
          <w:i/>
          <w:iCs/>
        </w:rPr>
        <w:t>Political Analysis</w:t>
      </w:r>
      <w:r w:rsidRPr="007A3B9C">
        <w:rPr>
          <w:rFonts w:eastAsia="標楷體"/>
        </w:rPr>
        <w:t xml:space="preserve"> </w:t>
      </w:r>
      <w:r w:rsidR="00E73856" w:rsidRPr="007A3B9C">
        <w:rPr>
          <w:rFonts w:eastAsia="標楷體"/>
        </w:rPr>
        <w:t xml:space="preserve">vol. </w:t>
      </w:r>
      <w:r w:rsidRPr="007A3B9C">
        <w:rPr>
          <w:rFonts w:eastAsia="標楷體"/>
        </w:rPr>
        <w:t>21, no. 3 (2013): 267–297.</w:t>
      </w:r>
    </w:p>
    <w:p w14:paraId="44B82352" w14:textId="77777777" w:rsidR="007A3B9C" w:rsidRDefault="008E6E02" w:rsidP="007A3B9C">
      <w:pPr>
        <w:pStyle w:val="a8"/>
        <w:numPr>
          <w:ilvl w:val="0"/>
          <w:numId w:val="21"/>
        </w:numPr>
        <w:jc w:val="both"/>
        <w:rPr>
          <w:rFonts w:eastAsia="標楷體"/>
          <w:lang w:eastAsia="zh-TW"/>
        </w:rPr>
      </w:pPr>
      <w:r w:rsidRPr="007A3B9C">
        <w:rPr>
          <w:rFonts w:eastAsia="標楷體"/>
        </w:rPr>
        <w:t xml:space="preserve">John Wilkerson and Andreu Casas, “Large-Scale Computerized Text Analysis in Political Science: Opportunities and Challenges,” </w:t>
      </w:r>
      <w:r w:rsidRPr="007A3B9C">
        <w:rPr>
          <w:rFonts w:eastAsia="標楷體"/>
          <w:i/>
          <w:iCs/>
        </w:rPr>
        <w:t>Annual Review of Political Science</w:t>
      </w:r>
      <w:r w:rsidRPr="007A3B9C">
        <w:rPr>
          <w:rFonts w:eastAsia="標楷體"/>
        </w:rPr>
        <w:t xml:space="preserve"> </w:t>
      </w:r>
      <w:r w:rsidR="00E73856" w:rsidRPr="007A3B9C">
        <w:rPr>
          <w:rFonts w:eastAsia="標楷體"/>
        </w:rPr>
        <w:t xml:space="preserve">vol. </w:t>
      </w:r>
      <w:r w:rsidRPr="007A3B9C">
        <w:rPr>
          <w:rFonts w:eastAsia="標楷體"/>
        </w:rPr>
        <w:t>20, no. 1 (2017): 529–544</w:t>
      </w:r>
      <w:r w:rsidRPr="007A3B9C">
        <w:rPr>
          <w:rFonts w:eastAsia="標楷體"/>
          <w:lang w:eastAsia="zh-TW"/>
        </w:rPr>
        <w:t>.</w:t>
      </w:r>
    </w:p>
    <w:p w14:paraId="1D718CD9" w14:textId="19810F94" w:rsidR="007A3B9C" w:rsidRPr="00456C8A" w:rsidRDefault="003669FB" w:rsidP="00456C8A">
      <w:pPr>
        <w:pStyle w:val="a8"/>
        <w:numPr>
          <w:ilvl w:val="0"/>
          <w:numId w:val="21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 xml:space="preserve">Yoshiko M. Herrera and F. </w:t>
      </w:r>
      <w:proofErr w:type="spellStart"/>
      <w:r w:rsidRPr="001758F7">
        <w:rPr>
          <w:rFonts w:eastAsia="標楷體"/>
          <w:lang w:eastAsia="zh-TW"/>
        </w:rPr>
        <w:t>Braumoeller</w:t>
      </w:r>
      <w:proofErr w:type="spellEnd"/>
      <w:r w:rsidRPr="001758F7">
        <w:rPr>
          <w:rFonts w:eastAsia="標楷體"/>
          <w:lang w:eastAsia="zh-TW"/>
        </w:rPr>
        <w:t xml:space="preserve"> </w:t>
      </w:r>
      <w:proofErr w:type="spellStart"/>
      <w:r w:rsidRPr="001758F7">
        <w:rPr>
          <w:rFonts w:eastAsia="標楷體"/>
          <w:lang w:eastAsia="zh-TW"/>
        </w:rPr>
        <w:t>Braumoeller</w:t>
      </w:r>
      <w:proofErr w:type="spellEnd"/>
      <w:r w:rsidRPr="001758F7">
        <w:rPr>
          <w:rFonts w:eastAsia="標楷體"/>
          <w:lang w:eastAsia="zh-TW"/>
        </w:rPr>
        <w:t xml:space="preserve">, “Symposium: Discourse and Content Analysis,” </w:t>
      </w:r>
      <w:r w:rsidRPr="001758F7">
        <w:rPr>
          <w:rFonts w:eastAsia="標楷體"/>
          <w:i/>
          <w:iCs/>
          <w:lang w:eastAsia="zh-TW"/>
        </w:rPr>
        <w:t>Qualitative Methods Newsletter</w:t>
      </w:r>
      <w:r w:rsidRPr="001758F7">
        <w:rPr>
          <w:rFonts w:eastAsia="標楷體"/>
          <w:lang w:eastAsia="zh-TW"/>
        </w:rPr>
        <w:t xml:space="preserve"> vol. 2, no. 1 (2004): 15–19.</w:t>
      </w:r>
    </w:p>
    <w:p w14:paraId="6AC32628" w14:textId="252CE371" w:rsidR="008E6E02" w:rsidRDefault="008E6E02" w:rsidP="003B2CF9">
      <w:pPr>
        <w:jc w:val="both"/>
        <w:rPr>
          <w:rFonts w:ascii="Times New Roman" w:eastAsia="標楷體" w:hAnsi="Times New Roman" w:cs="Times New Roman"/>
        </w:rPr>
      </w:pPr>
    </w:p>
    <w:p w14:paraId="461E297C" w14:textId="679DD9C6" w:rsidR="00FD23AD" w:rsidRDefault="00FD23AD" w:rsidP="003B2CF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020/5/</w:t>
      </w:r>
      <w:r w:rsidR="00376E14">
        <w:rPr>
          <w:rFonts w:ascii="Times New Roman" w:eastAsia="標楷體" w:hAnsi="Times New Roman" w:cs="Times New Roman"/>
        </w:rPr>
        <w:t>15</w:t>
      </w:r>
      <w:r>
        <w:rPr>
          <w:rFonts w:ascii="Times New Roman" w:eastAsia="標楷體" w:hAnsi="Times New Roman" w:cs="Times New Roman" w:hint="eastAsia"/>
        </w:rPr>
        <w:t>，歷史案例比較</w:t>
      </w:r>
      <w:r w:rsidR="00BA1248">
        <w:rPr>
          <w:rFonts w:ascii="Times New Roman" w:eastAsia="標楷體" w:hAnsi="Times New Roman" w:cs="Times New Roman" w:hint="eastAsia"/>
        </w:rPr>
        <w:t>法</w:t>
      </w:r>
    </w:p>
    <w:p w14:paraId="2E70BBC7" w14:textId="2DA32D13" w:rsidR="001C22BD" w:rsidRPr="001758F7" w:rsidRDefault="001C22BD" w:rsidP="001C22BD">
      <w:pPr>
        <w:pStyle w:val="a8"/>
        <w:numPr>
          <w:ilvl w:val="0"/>
          <w:numId w:val="13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 xml:space="preserve">, </w:t>
      </w:r>
      <w:r w:rsidR="00AB358D" w:rsidRPr="001758F7">
        <w:rPr>
          <w:rFonts w:eastAsia="標楷體"/>
        </w:rPr>
        <w:t>Ch.</w:t>
      </w:r>
      <w:r w:rsidRPr="001758F7">
        <w:rPr>
          <w:rFonts w:eastAsia="標楷體"/>
        </w:rPr>
        <w:t xml:space="preserve"> 12</w:t>
      </w:r>
      <w:r w:rsidRPr="001758F7">
        <w:rPr>
          <w:rFonts w:eastAsia="標楷體"/>
          <w:lang w:eastAsia="zh-TW"/>
        </w:rPr>
        <w:t>: “Varying Approaches to Causal Inference.”</w:t>
      </w:r>
    </w:p>
    <w:p w14:paraId="35E09E5B" w14:textId="62B4D519" w:rsidR="001C22BD" w:rsidRPr="001758F7" w:rsidRDefault="001C22BD" w:rsidP="001C22BD">
      <w:pPr>
        <w:pStyle w:val="a8"/>
        <w:numPr>
          <w:ilvl w:val="0"/>
          <w:numId w:val="13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Paul Pierson, </w:t>
      </w:r>
      <w:r w:rsidRPr="001758F7">
        <w:rPr>
          <w:rFonts w:eastAsia="標楷體"/>
          <w:i/>
          <w:iCs/>
        </w:rPr>
        <w:t>Politics in Time: History, Institutions, and Social Analysis</w:t>
      </w:r>
      <w:r w:rsidRPr="001758F7">
        <w:rPr>
          <w:rFonts w:eastAsia="標楷體"/>
        </w:rPr>
        <w:t xml:space="preserve"> (Princeton: Princeton University Press, 2011)</w:t>
      </w:r>
      <w:r w:rsidRPr="001758F7">
        <w:rPr>
          <w:rFonts w:eastAsia="標楷體"/>
          <w:lang w:eastAsia="zh-TW"/>
        </w:rPr>
        <w:t>, Ch</w:t>
      </w:r>
      <w:r w:rsidR="00636651" w:rsidRPr="001758F7">
        <w:rPr>
          <w:rFonts w:eastAsia="標楷體"/>
          <w:lang w:eastAsia="zh-TW"/>
        </w:rPr>
        <w:t>.</w:t>
      </w:r>
      <w:r w:rsidRPr="001758F7">
        <w:rPr>
          <w:rFonts w:eastAsia="標楷體"/>
          <w:lang w:eastAsia="zh-TW"/>
        </w:rPr>
        <w:t xml:space="preserve"> 2: “Timing and Sequence.”</w:t>
      </w:r>
    </w:p>
    <w:p w14:paraId="0527D377" w14:textId="532622DA" w:rsidR="001C22BD" w:rsidRPr="001758F7" w:rsidRDefault="001C22BD" w:rsidP="001C22BD">
      <w:pPr>
        <w:pStyle w:val="a8"/>
        <w:numPr>
          <w:ilvl w:val="0"/>
          <w:numId w:val="13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Alexander L. George and Andrew Bennett, </w:t>
      </w:r>
      <w:r w:rsidRPr="001758F7">
        <w:rPr>
          <w:rFonts w:eastAsia="標楷體"/>
          <w:i/>
          <w:iCs/>
        </w:rPr>
        <w:t>Case Studies and Theory Development in The Social Sciences</w:t>
      </w:r>
      <w:r w:rsidRPr="001758F7">
        <w:rPr>
          <w:rFonts w:eastAsia="標楷體"/>
        </w:rPr>
        <w:t>, (Cambridge, Mass: MIT Press, 2005)</w:t>
      </w:r>
      <w:r w:rsidRPr="001758F7">
        <w:rPr>
          <w:rFonts w:eastAsia="標楷體"/>
          <w:lang w:eastAsia="zh-TW"/>
        </w:rPr>
        <w:t>, Ch</w:t>
      </w:r>
      <w:r w:rsidR="00636651" w:rsidRPr="001758F7">
        <w:rPr>
          <w:rFonts w:eastAsia="標楷體"/>
          <w:lang w:eastAsia="zh-TW"/>
        </w:rPr>
        <w:t>.</w:t>
      </w:r>
      <w:r w:rsidRPr="001758F7">
        <w:rPr>
          <w:rFonts w:eastAsia="標楷體"/>
          <w:lang w:eastAsia="zh-TW"/>
        </w:rPr>
        <w:t xml:space="preserve"> 10: “Process Tracing and Historical Explanation.”</w:t>
      </w:r>
    </w:p>
    <w:p w14:paraId="386D7C75" w14:textId="1FDFD79A" w:rsidR="00E43531" w:rsidRDefault="001C22BD" w:rsidP="003B2CF9">
      <w:pPr>
        <w:pStyle w:val="a8"/>
        <w:numPr>
          <w:ilvl w:val="0"/>
          <w:numId w:val="13"/>
        </w:numPr>
        <w:jc w:val="both"/>
        <w:rPr>
          <w:rFonts w:eastAsia="標楷體"/>
        </w:rPr>
      </w:pPr>
      <w:r w:rsidRPr="003669FB">
        <w:rPr>
          <w:rFonts w:eastAsia="標楷體"/>
        </w:rPr>
        <w:t xml:space="preserve">Barbara Geddes, “How the Cases You Choose Affect the Answers You Get: Selection Bias in Comparative Politics,” </w:t>
      </w:r>
      <w:r w:rsidRPr="003669FB">
        <w:rPr>
          <w:rFonts w:eastAsia="標楷體"/>
          <w:i/>
          <w:iCs/>
        </w:rPr>
        <w:t>Political Analysis</w:t>
      </w:r>
      <w:r w:rsidRPr="003669FB">
        <w:rPr>
          <w:rFonts w:eastAsia="標楷體"/>
        </w:rPr>
        <w:t xml:space="preserve"> </w:t>
      </w:r>
      <w:r w:rsidR="001A6965" w:rsidRPr="003669FB">
        <w:rPr>
          <w:rFonts w:eastAsia="標楷體"/>
        </w:rPr>
        <w:t>vol.</w:t>
      </w:r>
      <w:r w:rsidR="001A6965" w:rsidRPr="003669FB">
        <w:rPr>
          <w:rFonts w:eastAsia="標楷體"/>
          <w:lang w:eastAsia="zh-TW"/>
        </w:rPr>
        <w:t xml:space="preserve"> </w:t>
      </w:r>
      <w:r w:rsidRPr="003669FB">
        <w:rPr>
          <w:rFonts w:eastAsia="標楷體"/>
        </w:rPr>
        <w:t>2 (1990): 131–150</w:t>
      </w:r>
      <w:r w:rsidRPr="003669FB">
        <w:rPr>
          <w:rFonts w:eastAsia="標楷體"/>
          <w:lang w:eastAsia="zh-TW"/>
        </w:rPr>
        <w:t>.</w:t>
      </w:r>
      <w:r w:rsidR="003669FB" w:rsidRPr="003669FB">
        <w:rPr>
          <w:rFonts w:eastAsia="標楷體"/>
          <w:lang w:eastAsia="zh-TW"/>
        </w:rPr>
        <w:t xml:space="preserve"> </w:t>
      </w:r>
    </w:p>
    <w:p w14:paraId="695F0543" w14:textId="77777777" w:rsidR="003669FB" w:rsidRPr="003669FB" w:rsidRDefault="003669FB" w:rsidP="003669FB">
      <w:pPr>
        <w:jc w:val="both"/>
        <w:rPr>
          <w:rFonts w:eastAsia="標楷體"/>
        </w:rPr>
      </w:pPr>
    </w:p>
    <w:p w14:paraId="3F92597D" w14:textId="125B1379" w:rsidR="001C22BD" w:rsidRPr="001758F7" w:rsidRDefault="00C4401C" w:rsidP="003B2CF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020/5/</w:t>
      </w:r>
      <w:r w:rsidR="00376E14">
        <w:rPr>
          <w:rFonts w:ascii="Times New Roman" w:eastAsia="標楷體" w:hAnsi="Times New Roman" w:cs="Times New Roman"/>
        </w:rPr>
        <w:t>22</w:t>
      </w:r>
      <w:r>
        <w:rPr>
          <w:rFonts w:ascii="Times New Roman" w:eastAsia="標楷體" w:hAnsi="Times New Roman" w:cs="Times New Roman" w:hint="eastAsia"/>
        </w:rPr>
        <w:t>，</w:t>
      </w:r>
      <w:r w:rsidR="00BA1248">
        <w:rPr>
          <w:rFonts w:ascii="Times New Roman" w:eastAsia="標楷體" w:hAnsi="Times New Roman" w:cs="Times New Roman" w:hint="eastAsia"/>
        </w:rPr>
        <w:t>檔案、訪談</w:t>
      </w:r>
      <w:r w:rsidR="00B3796B">
        <w:rPr>
          <w:rFonts w:ascii="Times New Roman" w:eastAsia="標楷體" w:hAnsi="Times New Roman" w:cs="Times New Roman" w:hint="eastAsia"/>
        </w:rPr>
        <w:t>、</w:t>
      </w:r>
      <w:r w:rsidR="00DB28D5">
        <w:rPr>
          <w:rFonts w:ascii="Times New Roman" w:eastAsia="標楷體" w:hAnsi="Times New Roman" w:cs="Times New Roman" w:hint="eastAsia"/>
        </w:rPr>
        <w:t>觀察法</w:t>
      </w:r>
    </w:p>
    <w:p w14:paraId="01A5507D" w14:textId="77777777" w:rsidR="00B3796B" w:rsidRDefault="00B3796B" w:rsidP="00B81FC3">
      <w:pPr>
        <w:pStyle w:val="a8"/>
        <w:numPr>
          <w:ilvl w:val="0"/>
          <w:numId w:val="14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>, Ch. 13</w:t>
      </w:r>
      <w:r w:rsidRPr="001758F7">
        <w:rPr>
          <w:rFonts w:eastAsia="標楷體"/>
          <w:lang w:eastAsia="zh-TW"/>
        </w:rPr>
        <w:t>: “Unity and Plurality.”</w:t>
      </w:r>
    </w:p>
    <w:p w14:paraId="6E937FB7" w14:textId="4B0B0AAC" w:rsidR="00B3796B" w:rsidRDefault="00B3796B" w:rsidP="00B81FC3">
      <w:pPr>
        <w:pStyle w:val="a8"/>
        <w:numPr>
          <w:ilvl w:val="0"/>
          <w:numId w:val="14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Ian S. </w:t>
      </w:r>
      <w:proofErr w:type="spellStart"/>
      <w:r w:rsidRPr="001758F7">
        <w:rPr>
          <w:rFonts w:eastAsia="標楷體"/>
        </w:rPr>
        <w:t>Lustick</w:t>
      </w:r>
      <w:proofErr w:type="spellEnd"/>
      <w:r w:rsidRPr="001758F7">
        <w:rPr>
          <w:rFonts w:eastAsia="標楷體"/>
        </w:rPr>
        <w:t xml:space="preserve">, “History, Historiography, and Political Science: Multiple Historical Records and the Problem of Selection Bias,” </w:t>
      </w:r>
      <w:r w:rsidRPr="001758F7">
        <w:rPr>
          <w:rFonts w:eastAsia="標楷體"/>
          <w:i/>
          <w:iCs/>
        </w:rPr>
        <w:t>American Political Science Review</w:t>
      </w:r>
      <w:r w:rsidRPr="001758F7">
        <w:rPr>
          <w:rFonts w:eastAsia="標楷體"/>
        </w:rPr>
        <w:t xml:space="preserve"> vol. 90, no. 3 (1996): 605–618</w:t>
      </w:r>
      <w:r w:rsidRPr="001758F7">
        <w:rPr>
          <w:rFonts w:eastAsia="標楷體"/>
          <w:lang w:eastAsia="zh-TW"/>
        </w:rPr>
        <w:t>.</w:t>
      </w:r>
    </w:p>
    <w:p w14:paraId="6E36F508" w14:textId="3E0D8362" w:rsidR="00376169" w:rsidRDefault="00376169" w:rsidP="00B81FC3">
      <w:pPr>
        <w:pStyle w:val="a8"/>
        <w:numPr>
          <w:ilvl w:val="0"/>
          <w:numId w:val="14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 xml:space="preserve">Joe </w:t>
      </w:r>
      <w:proofErr w:type="spellStart"/>
      <w:r w:rsidRPr="001758F7">
        <w:rPr>
          <w:rFonts w:eastAsia="標楷體"/>
          <w:lang w:eastAsia="zh-TW"/>
        </w:rPr>
        <w:t>Soss</w:t>
      </w:r>
      <w:proofErr w:type="spellEnd"/>
      <w:r w:rsidRPr="001758F7">
        <w:rPr>
          <w:rFonts w:eastAsia="標楷體"/>
          <w:lang w:eastAsia="zh-TW"/>
        </w:rPr>
        <w:t>, “Talking Our Way to Meaningful Explanations: A Practice-</w:t>
      </w:r>
      <w:r w:rsidR="00A426D9" w:rsidRPr="001758F7">
        <w:rPr>
          <w:rFonts w:eastAsia="標楷體"/>
          <w:lang w:eastAsia="zh-TW"/>
        </w:rPr>
        <w:t>c</w:t>
      </w:r>
      <w:r w:rsidRPr="001758F7">
        <w:rPr>
          <w:rFonts w:eastAsia="標楷體"/>
          <w:lang w:eastAsia="zh-TW"/>
        </w:rPr>
        <w:t>entered Approach to In-</w:t>
      </w:r>
      <w:r w:rsidR="00A426D9" w:rsidRPr="001758F7">
        <w:rPr>
          <w:rFonts w:eastAsia="標楷體"/>
          <w:lang w:eastAsia="zh-TW"/>
        </w:rPr>
        <w:t>d</w:t>
      </w:r>
      <w:r w:rsidRPr="001758F7">
        <w:rPr>
          <w:rFonts w:eastAsia="標楷體"/>
          <w:lang w:eastAsia="zh-TW"/>
        </w:rPr>
        <w:t xml:space="preserve">epth Interviews for Interpretive Research,” in. D. </w:t>
      </w:r>
      <w:proofErr w:type="spellStart"/>
      <w:r w:rsidRPr="001758F7">
        <w:rPr>
          <w:rFonts w:eastAsia="標楷體"/>
          <w:lang w:eastAsia="zh-TW"/>
        </w:rPr>
        <w:t>Yanow</w:t>
      </w:r>
      <w:proofErr w:type="spellEnd"/>
      <w:r w:rsidRPr="001758F7">
        <w:rPr>
          <w:rFonts w:eastAsia="標楷體"/>
          <w:lang w:eastAsia="zh-TW"/>
        </w:rPr>
        <w:t xml:space="preserve"> and P. Schwartz-Shea (eds) </w:t>
      </w:r>
      <w:r w:rsidRPr="001758F7">
        <w:rPr>
          <w:rFonts w:eastAsia="標楷體"/>
          <w:i/>
          <w:iCs/>
          <w:lang w:eastAsia="zh-TW"/>
        </w:rPr>
        <w:t>Interpretation and Method</w:t>
      </w:r>
      <w:r w:rsidRPr="001758F7">
        <w:rPr>
          <w:rFonts w:eastAsia="標楷體"/>
          <w:lang w:eastAsia="zh-TW"/>
        </w:rPr>
        <w:t>, (New York: M.E. Sharpe, 2006).</w:t>
      </w:r>
    </w:p>
    <w:p w14:paraId="49358A7D" w14:textId="77777777" w:rsidR="00B3796B" w:rsidRPr="001758F7" w:rsidRDefault="00B3796B" w:rsidP="00B3796B">
      <w:pPr>
        <w:pStyle w:val="a8"/>
        <w:numPr>
          <w:ilvl w:val="0"/>
          <w:numId w:val="14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Richard F. </w:t>
      </w:r>
      <w:proofErr w:type="spellStart"/>
      <w:r w:rsidRPr="001758F7">
        <w:rPr>
          <w:rFonts w:eastAsia="標楷體"/>
        </w:rPr>
        <w:t>Fenno</w:t>
      </w:r>
      <w:proofErr w:type="spellEnd"/>
      <w:r w:rsidRPr="001758F7">
        <w:rPr>
          <w:rFonts w:eastAsia="標楷體"/>
        </w:rPr>
        <w:t xml:space="preserve">, “Observation, Context, and Sequence in the Study of Politics,” </w:t>
      </w:r>
      <w:r w:rsidRPr="001758F7">
        <w:rPr>
          <w:rFonts w:eastAsia="標楷體"/>
          <w:i/>
          <w:iCs/>
        </w:rPr>
        <w:t>American Political Science Review</w:t>
      </w:r>
      <w:r w:rsidRPr="001758F7">
        <w:rPr>
          <w:rFonts w:eastAsia="標楷體"/>
        </w:rPr>
        <w:t xml:space="preserve"> vol. 80, no. 1 (1986): 3–15</w:t>
      </w:r>
      <w:r w:rsidRPr="001758F7">
        <w:rPr>
          <w:rFonts w:eastAsia="標楷體"/>
          <w:lang w:eastAsia="zh-TW"/>
        </w:rPr>
        <w:t>.</w:t>
      </w:r>
    </w:p>
    <w:p w14:paraId="234E970D" w14:textId="421228D3" w:rsidR="00B81FC3" w:rsidRDefault="00B81FC3" w:rsidP="003B2CF9">
      <w:pPr>
        <w:jc w:val="both"/>
        <w:rPr>
          <w:rFonts w:ascii="Times New Roman" w:eastAsia="標楷體" w:hAnsi="Times New Roman" w:cs="Times New Roman"/>
        </w:rPr>
      </w:pPr>
    </w:p>
    <w:p w14:paraId="65BA3CBF" w14:textId="1FEBE927" w:rsidR="00B3796B" w:rsidRPr="00B3796B" w:rsidRDefault="00FD23AD" w:rsidP="00B3796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020/5/</w:t>
      </w:r>
      <w:r w:rsidR="00BA1248">
        <w:rPr>
          <w:rFonts w:ascii="Times New Roman" w:eastAsia="標楷體" w:hAnsi="Times New Roman" w:cs="Times New Roman" w:hint="eastAsia"/>
        </w:rPr>
        <w:t>2</w:t>
      </w:r>
      <w:r w:rsidR="00376E14"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Times New Roman" w:hint="eastAsia"/>
        </w:rPr>
        <w:t>，混合研究法</w:t>
      </w:r>
    </w:p>
    <w:p w14:paraId="63AB07EF" w14:textId="4A48C12A" w:rsidR="00422C55" w:rsidRDefault="00422C55" w:rsidP="004504AC">
      <w:pPr>
        <w:pStyle w:val="a8"/>
        <w:numPr>
          <w:ilvl w:val="0"/>
          <w:numId w:val="16"/>
        </w:numPr>
        <w:jc w:val="both"/>
        <w:rPr>
          <w:rFonts w:eastAsia="標楷體"/>
          <w:lang w:eastAsia="zh-TW"/>
        </w:rPr>
      </w:pPr>
      <w:r w:rsidRPr="00191F11">
        <w:rPr>
          <w:rFonts w:eastAsia="標楷體"/>
          <w:lang w:eastAsia="zh-TW"/>
        </w:rPr>
        <w:t>彭明輝，第</w:t>
      </w:r>
      <w:r w:rsidRPr="00191F11">
        <w:rPr>
          <w:rFonts w:eastAsia="標楷體"/>
          <w:lang w:eastAsia="zh-TW"/>
        </w:rPr>
        <w:t>17</w:t>
      </w:r>
      <w:proofErr w:type="gramStart"/>
      <w:r w:rsidRPr="00191F11">
        <w:rPr>
          <w:rFonts w:eastAsia="標楷體"/>
          <w:lang w:eastAsia="zh-TW"/>
        </w:rPr>
        <w:t>–</w:t>
      </w:r>
      <w:proofErr w:type="gramEnd"/>
      <w:r w:rsidRPr="00191F11">
        <w:rPr>
          <w:rFonts w:eastAsia="標楷體"/>
          <w:lang w:eastAsia="zh-TW"/>
        </w:rPr>
        <w:t>19</w:t>
      </w:r>
      <w:r w:rsidRPr="00191F11">
        <w:rPr>
          <w:rFonts w:eastAsia="標楷體"/>
          <w:lang w:eastAsia="zh-TW"/>
        </w:rPr>
        <w:t>章，關於研究成果的應用和產學合作。</w:t>
      </w:r>
    </w:p>
    <w:p w14:paraId="19472AA4" w14:textId="3C84B184" w:rsidR="007938A0" w:rsidRDefault="007938A0" w:rsidP="004504AC">
      <w:pPr>
        <w:pStyle w:val="a8"/>
        <w:numPr>
          <w:ilvl w:val="0"/>
          <w:numId w:val="16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John </w:t>
      </w:r>
      <w:proofErr w:type="spellStart"/>
      <w:r w:rsidRPr="001758F7">
        <w:rPr>
          <w:rFonts w:eastAsia="標楷體"/>
        </w:rPr>
        <w:t>Gerring</w:t>
      </w:r>
      <w:proofErr w:type="spellEnd"/>
      <w:r w:rsidRPr="001758F7">
        <w:rPr>
          <w:rFonts w:eastAsia="標楷體"/>
        </w:rPr>
        <w:t>, Ch. 1</w:t>
      </w:r>
      <w:r>
        <w:rPr>
          <w:rFonts w:eastAsia="標楷體" w:hint="eastAsia"/>
          <w:lang w:eastAsia="zh-TW"/>
        </w:rPr>
        <w:t>4</w:t>
      </w:r>
      <w:r w:rsidRPr="001758F7">
        <w:rPr>
          <w:rFonts w:eastAsia="標楷體"/>
          <w:lang w:eastAsia="zh-TW"/>
        </w:rPr>
        <w:t>: “</w:t>
      </w:r>
      <w:r>
        <w:rPr>
          <w:rFonts w:eastAsia="標楷體" w:hint="eastAsia"/>
          <w:lang w:eastAsia="zh-TW"/>
        </w:rPr>
        <w:t>Se</w:t>
      </w:r>
      <w:r>
        <w:rPr>
          <w:rFonts w:eastAsia="標楷體"/>
          <w:lang w:eastAsia="zh-TW"/>
        </w:rPr>
        <w:t>tting Standards</w:t>
      </w:r>
      <w:r w:rsidRPr="001758F7">
        <w:rPr>
          <w:rFonts w:eastAsia="標楷體"/>
          <w:lang w:eastAsia="zh-TW"/>
        </w:rPr>
        <w:t>.”</w:t>
      </w:r>
    </w:p>
    <w:p w14:paraId="3E9FB7A0" w14:textId="414899F5" w:rsidR="009D555A" w:rsidRPr="001758F7" w:rsidRDefault="009D555A" w:rsidP="004504AC">
      <w:pPr>
        <w:pStyle w:val="a8"/>
        <w:numPr>
          <w:ilvl w:val="0"/>
          <w:numId w:val="16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</w:rPr>
        <w:t xml:space="preserve">Evan S. Lieberman, “Nested Analysis as a Mixed-Method Strategy for Comparative Research,” </w:t>
      </w:r>
      <w:r w:rsidRPr="001758F7">
        <w:rPr>
          <w:rFonts w:eastAsia="標楷體"/>
          <w:i/>
          <w:iCs/>
        </w:rPr>
        <w:t>American Political Science Review</w:t>
      </w:r>
      <w:r w:rsidRPr="001758F7">
        <w:rPr>
          <w:rFonts w:eastAsia="標楷體"/>
        </w:rPr>
        <w:t xml:space="preserve"> </w:t>
      </w:r>
      <w:r w:rsidR="00E73856" w:rsidRPr="001758F7">
        <w:rPr>
          <w:rFonts w:eastAsia="標楷體"/>
        </w:rPr>
        <w:t xml:space="preserve">vol. </w:t>
      </w:r>
      <w:r w:rsidRPr="001758F7">
        <w:rPr>
          <w:rFonts w:eastAsia="標楷體"/>
        </w:rPr>
        <w:t>99, no. 3 (2005): 435–452</w:t>
      </w:r>
      <w:r w:rsidRPr="001758F7">
        <w:rPr>
          <w:rFonts w:eastAsia="標楷體"/>
          <w:lang w:eastAsia="zh-TW"/>
        </w:rPr>
        <w:t>.</w:t>
      </w:r>
    </w:p>
    <w:p w14:paraId="1043F2EB" w14:textId="72DAA5B0" w:rsidR="004504AC" w:rsidRPr="001758F7" w:rsidRDefault="009D555A" w:rsidP="009D555A">
      <w:pPr>
        <w:pStyle w:val="a8"/>
        <w:numPr>
          <w:ilvl w:val="0"/>
          <w:numId w:val="16"/>
        </w:numPr>
        <w:jc w:val="both"/>
        <w:rPr>
          <w:rFonts w:eastAsia="標楷體"/>
          <w:lang w:eastAsia="zh-TW"/>
        </w:rPr>
      </w:pPr>
      <w:proofErr w:type="spellStart"/>
      <w:r w:rsidRPr="001758F7">
        <w:rPr>
          <w:rFonts w:eastAsia="標楷體"/>
        </w:rPr>
        <w:lastRenderedPageBreak/>
        <w:t>Amel</w:t>
      </w:r>
      <w:proofErr w:type="spellEnd"/>
      <w:r w:rsidRPr="001758F7">
        <w:rPr>
          <w:rFonts w:eastAsia="標楷體"/>
        </w:rPr>
        <w:t xml:space="preserve"> Ahmed and </w:t>
      </w:r>
      <w:proofErr w:type="spellStart"/>
      <w:r w:rsidRPr="001758F7">
        <w:rPr>
          <w:rFonts w:eastAsia="標楷體"/>
        </w:rPr>
        <w:t>Rudra</w:t>
      </w:r>
      <w:proofErr w:type="spellEnd"/>
      <w:r w:rsidRPr="001758F7">
        <w:rPr>
          <w:rFonts w:eastAsia="標楷體"/>
        </w:rPr>
        <w:t xml:space="preserve"> Sil, “When Multi-Method Research Subverts Methodological Pluralism—or, Why We Still Need Single-Method Research,” </w:t>
      </w:r>
      <w:r w:rsidRPr="001758F7">
        <w:rPr>
          <w:rFonts w:eastAsia="標楷體"/>
          <w:i/>
          <w:iCs/>
        </w:rPr>
        <w:t>Perspectives on Politics</w:t>
      </w:r>
      <w:r w:rsidRPr="001758F7">
        <w:rPr>
          <w:rFonts w:eastAsia="標楷體"/>
        </w:rPr>
        <w:t xml:space="preserve"> </w:t>
      </w:r>
      <w:r w:rsidR="00E73856" w:rsidRPr="001758F7">
        <w:rPr>
          <w:rFonts w:eastAsia="標楷體"/>
        </w:rPr>
        <w:t xml:space="preserve">vol. </w:t>
      </w:r>
      <w:r w:rsidRPr="001758F7">
        <w:rPr>
          <w:rFonts w:eastAsia="標楷體"/>
        </w:rPr>
        <w:t>10, no. 4 (2012): 935–953.</w:t>
      </w:r>
      <w:r w:rsidR="004504AC" w:rsidRPr="001758F7">
        <w:rPr>
          <w:rFonts w:eastAsia="標楷體"/>
          <w:lang w:eastAsia="zh-TW"/>
        </w:rPr>
        <w:t xml:space="preserve"> </w:t>
      </w:r>
    </w:p>
    <w:p w14:paraId="10544FA4" w14:textId="0E548614" w:rsidR="009D555A" w:rsidRPr="001758F7" w:rsidRDefault="00D31198" w:rsidP="009D555A">
      <w:pPr>
        <w:pStyle w:val="a8"/>
        <w:numPr>
          <w:ilvl w:val="0"/>
          <w:numId w:val="16"/>
        </w:numPr>
        <w:jc w:val="both"/>
        <w:rPr>
          <w:rFonts w:eastAsia="標楷體"/>
          <w:lang w:eastAsia="zh-TW"/>
        </w:rPr>
      </w:pPr>
      <w:r w:rsidRPr="001758F7">
        <w:rPr>
          <w:rFonts w:eastAsia="標楷體"/>
          <w:lang w:eastAsia="zh-TW"/>
        </w:rPr>
        <w:t>周</w:t>
      </w:r>
      <w:r w:rsidR="004504AC" w:rsidRPr="001758F7">
        <w:rPr>
          <w:rFonts w:eastAsia="標楷體"/>
          <w:lang w:eastAsia="zh-TW"/>
        </w:rPr>
        <w:t>嘉辰，</w:t>
      </w:r>
      <w:proofErr w:type="gramStart"/>
      <w:r w:rsidR="004504AC" w:rsidRPr="001758F7">
        <w:rPr>
          <w:rFonts w:eastAsia="標楷體"/>
          <w:lang w:eastAsia="zh-TW"/>
        </w:rPr>
        <w:t>〈</w:t>
      </w:r>
      <w:proofErr w:type="gramEnd"/>
      <w:r w:rsidR="004504AC" w:rsidRPr="001758F7">
        <w:rPr>
          <w:rFonts w:eastAsia="標楷體"/>
          <w:lang w:eastAsia="zh-TW"/>
        </w:rPr>
        <w:t>混合研究法與中國研究：結合多類案例與量化內容分析</w:t>
      </w:r>
      <w:proofErr w:type="gramStart"/>
      <w:r w:rsidR="004504AC" w:rsidRPr="001758F7">
        <w:rPr>
          <w:rFonts w:eastAsia="標楷體"/>
          <w:lang w:eastAsia="zh-TW"/>
        </w:rPr>
        <w:t>〉</w:t>
      </w:r>
      <w:proofErr w:type="gramEnd"/>
      <w:r w:rsidR="004504AC" w:rsidRPr="001758F7">
        <w:rPr>
          <w:rFonts w:eastAsia="標楷體"/>
          <w:lang w:eastAsia="zh-TW"/>
        </w:rPr>
        <w:t>，《中國大陸研究》，第</w:t>
      </w:r>
      <w:r w:rsidR="004504AC" w:rsidRPr="001758F7">
        <w:rPr>
          <w:rFonts w:eastAsia="標楷體"/>
          <w:lang w:eastAsia="zh-TW"/>
        </w:rPr>
        <w:t>58</w:t>
      </w:r>
      <w:r w:rsidR="004504AC" w:rsidRPr="001758F7">
        <w:rPr>
          <w:rFonts w:eastAsia="標楷體"/>
          <w:lang w:eastAsia="zh-TW"/>
        </w:rPr>
        <w:t>卷，第</w:t>
      </w:r>
      <w:r w:rsidR="004504AC" w:rsidRPr="001758F7">
        <w:rPr>
          <w:rFonts w:eastAsia="標楷體"/>
          <w:lang w:eastAsia="zh-TW"/>
        </w:rPr>
        <w:t>2</w:t>
      </w:r>
      <w:r w:rsidR="004504AC" w:rsidRPr="001758F7">
        <w:rPr>
          <w:rFonts w:eastAsia="標楷體"/>
          <w:lang w:eastAsia="zh-TW"/>
        </w:rPr>
        <w:t>期（</w:t>
      </w:r>
      <w:r w:rsidR="004504AC" w:rsidRPr="001758F7">
        <w:rPr>
          <w:rFonts w:eastAsia="標楷體"/>
          <w:lang w:eastAsia="zh-TW"/>
        </w:rPr>
        <w:t>2015</w:t>
      </w:r>
      <w:r w:rsidR="004504AC" w:rsidRPr="001758F7">
        <w:rPr>
          <w:rFonts w:eastAsia="標楷體"/>
          <w:lang w:eastAsia="zh-TW"/>
        </w:rPr>
        <w:t>）：</w:t>
      </w:r>
      <w:r w:rsidR="004504AC" w:rsidRPr="001758F7">
        <w:rPr>
          <w:rFonts w:eastAsia="標楷體"/>
          <w:lang w:eastAsia="zh-TW"/>
        </w:rPr>
        <w:t>61</w:t>
      </w:r>
      <w:proofErr w:type="gramStart"/>
      <w:r w:rsidR="004504AC" w:rsidRPr="001758F7">
        <w:rPr>
          <w:rFonts w:eastAsia="標楷體"/>
          <w:lang w:eastAsia="zh-TW"/>
        </w:rPr>
        <w:t>–</w:t>
      </w:r>
      <w:proofErr w:type="gramEnd"/>
      <w:r w:rsidR="004504AC" w:rsidRPr="001758F7">
        <w:rPr>
          <w:rFonts w:eastAsia="標楷體"/>
          <w:lang w:eastAsia="zh-TW"/>
        </w:rPr>
        <w:t>90</w:t>
      </w:r>
      <w:r w:rsidR="004504AC" w:rsidRPr="001758F7">
        <w:rPr>
          <w:rFonts w:eastAsia="標楷體"/>
          <w:lang w:eastAsia="zh-TW"/>
        </w:rPr>
        <w:t>。</w:t>
      </w:r>
    </w:p>
    <w:p w14:paraId="3FAAF17C" w14:textId="77777777" w:rsidR="00422C55" w:rsidRPr="00422C55" w:rsidRDefault="00422C55" w:rsidP="00422C55">
      <w:pPr>
        <w:jc w:val="both"/>
        <w:rPr>
          <w:rFonts w:eastAsia="標楷體"/>
        </w:rPr>
      </w:pPr>
    </w:p>
    <w:p w14:paraId="6687FB94" w14:textId="1F6DB491" w:rsidR="009D555A" w:rsidRPr="001758F7" w:rsidRDefault="00FD23AD" w:rsidP="003B2CF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020/</w:t>
      </w:r>
      <w:r w:rsidR="006148A9">
        <w:rPr>
          <w:rFonts w:ascii="Times New Roman" w:eastAsia="標楷體" w:hAnsi="Times New Roman" w:cs="Times New Roman" w:hint="eastAsia"/>
        </w:rPr>
        <w:t>6</w:t>
      </w:r>
      <w:r w:rsidR="006148A9">
        <w:rPr>
          <w:rFonts w:ascii="Times New Roman" w:eastAsia="標楷體" w:hAnsi="Times New Roman" w:cs="Times New Roman"/>
        </w:rPr>
        <w:t>/5</w:t>
      </w:r>
      <w:proofErr w:type="gramStart"/>
      <w:r>
        <w:rPr>
          <w:rFonts w:ascii="Times New Roman" w:eastAsia="標楷體" w:hAnsi="Times New Roman" w:cs="Times New Roman" w:hint="eastAsia"/>
        </w:rPr>
        <w:t>＆</w:t>
      </w:r>
      <w:proofErr w:type="gramEnd"/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020/</w:t>
      </w:r>
      <w:r w:rsidR="00BA1248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/</w:t>
      </w:r>
      <w:r w:rsidR="006148A9"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，</w:t>
      </w:r>
      <w:r w:rsidR="009D555A" w:rsidRPr="001758F7">
        <w:rPr>
          <w:rFonts w:ascii="Times New Roman" w:eastAsia="標楷體" w:hAnsi="Times New Roman" w:cs="Times New Roman"/>
        </w:rPr>
        <w:t>研究計畫口頭報告</w:t>
      </w:r>
    </w:p>
    <w:p w14:paraId="4058D81B" w14:textId="07629C8A" w:rsidR="00035387" w:rsidRDefault="00035387" w:rsidP="00035387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6D1C09C9" w14:textId="3A34D054" w:rsidR="00CE57CC" w:rsidRDefault="00CE57CC" w:rsidP="00035387">
      <w:pPr>
        <w:spacing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202</w:t>
      </w:r>
      <w:r w:rsidR="00661247"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/6/</w:t>
      </w:r>
      <w:r w:rsidR="006148A9">
        <w:rPr>
          <w:rFonts w:ascii="Times New Roman" w:eastAsia="標楷體" w:hAnsi="Times New Roman" w:cs="Times New Roman"/>
        </w:rPr>
        <w:t>22</w:t>
      </w:r>
      <w:r>
        <w:rPr>
          <w:rFonts w:ascii="Times New Roman" w:eastAsia="標楷體" w:hAnsi="Times New Roman" w:cs="Times New Roman" w:hint="eastAsia"/>
        </w:rPr>
        <w:t>，繳交研究計畫完稿</w:t>
      </w:r>
    </w:p>
    <w:p w14:paraId="17290740" w14:textId="3454EA6F" w:rsidR="003209FE" w:rsidRDefault="003209FE" w:rsidP="00035387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3BB2AE66" w14:textId="4F771C1B" w:rsidR="003209FE" w:rsidRPr="006B5AA7" w:rsidRDefault="003209FE" w:rsidP="003209FE">
      <w:pPr>
        <w:pStyle w:val="a8"/>
        <w:numPr>
          <w:ilvl w:val="0"/>
          <w:numId w:val="22"/>
        </w:numPr>
        <w:spacing w:line="276" w:lineRule="auto"/>
        <w:rPr>
          <w:rFonts w:ascii="標楷體" w:eastAsia="標楷體" w:hAnsi="標楷體" w:hint="eastAsia"/>
          <w:color w:val="0000FF"/>
          <w:sz w:val="28"/>
          <w:szCs w:val="28"/>
        </w:rPr>
      </w:pPr>
      <w:r w:rsidRPr="006B5AA7">
        <w:rPr>
          <w:rFonts w:ascii="標楷體" w:eastAsia="標楷體" w:hAnsi="標楷體"/>
          <w:color w:val="0000FF"/>
          <w:sz w:val="28"/>
          <w:szCs w:val="28"/>
        </w:rPr>
        <w:t>如果</w:t>
      </w:r>
      <w:r w:rsidRPr="006B5AA7">
        <w:rPr>
          <w:rFonts w:ascii="標楷體" w:eastAsia="標楷體" w:hAnsi="標楷體" w:hint="eastAsia"/>
          <w:color w:val="0000FF"/>
          <w:sz w:val="28"/>
          <w:szCs w:val="28"/>
        </w:rPr>
        <w:t>同學</w:t>
      </w:r>
      <w:r w:rsidRPr="006B5AA7">
        <w:rPr>
          <w:rFonts w:ascii="標楷體" w:eastAsia="標楷體" w:hAnsi="標楷體"/>
          <w:color w:val="0000FF"/>
          <w:sz w:val="28"/>
          <w:szCs w:val="28"/>
        </w:rPr>
        <w:t>選課前有疑問，或想多了解本課程更多內容，請</w:t>
      </w:r>
      <w:bookmarkStart w:id="0" w:name="_GoBack"/>
      <w:bookmarkEnd w:id="0"/>
      <w:r w:rsidRPr="006B5AA7">
        <w:rPr>
          <w:rFonts w:ascii="標楷體" w:eastAsia="標楷體" w:hAnsi="標楷體" w:hint="eastAsia"/>
          <w:color w:val="0000FF"/>
          <w:sz w:val="28"/>
          <w:szCs w:val="28"/>
        </w:rPr>
        <w:t>以此</w:t>
      </w:r>
      <w:r w:rsidRPr="006B5AA7">
        <w:rPr>
          <w:rFonts w:ascii="標楷體" w:eastAsia="標楷體" w:hAnsi="標楷體"/>
          <w:color w:val="0000FF"/>
          <w:sz w:val="28"/>
          <w:szCs w:val="28"/>
        </w:rPr>
        <w:t>信箱聯繫</w:t>
      </w:r>
      <w:r w:rsidRPr="006B5AA7">
        <w:rPr>
          <w:rFonts w:ascii="標楷體" w:eastAsia="標楷體" w:hAnsi="標楷體" w:hint="eastAsia"/>
          <w:color w:val="0000FF"/>
          <w:sz w:val="28"/>
          <w:szCs w:val="28"/>
        </w:rPr>
        <w:t>開課教師</w:t>
      </w:r>
      <w:r w:rsidRPr="006B5AA7">
        <w:rPr>
          <w:rFonts w:ascii="標楷體" w:eastAsia="標楷體" w:hAnsi="標楷體"/>
          <w:color w:val="0000FF"/>
          <w:sz w:val="28"/>
          <w:szCs w:val="28"/>
        </w:rPr>
        <w:t>：ysu2@albany.edu</w:t>
      </w:r>
    </w:p>
    <w:p w14:paraId="38B278EB" w14:textId="77777777" w:rsidR="003209FE" w:rsidRPr="003209FE" w:rsidRDefault="003209FE" w:rsidP="00035387">
      <w:pPr>
        <w:spacing w:line="276" w:lineRule="auto"/>
        <w:jc w:val="both"/>
        <w:rPr>
          <w:rFonts w:ascii="Times New Roman" w:eastAsia="標楷體" w:hAnsi="Times New Roman" w:cs="Times New Roman" w:hint="eastAsia"/>
        </w:rPr>
      </w:pPr>
    </w:p>
    <w:sectPr w:rsidR="003209FE" w:rsidRPr="003209FE" w:rsidSect="00B814B8">
      <w:footerReference w:type="default" r:id="rId7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BA2C" w14:textId="77777777" w:rsidR="00165722" w:rsidRDefault="00165722" w:rsidP="00ED2A80">
      <w:r>
        <w:separator/>
      </w:r>
    </w:p>
  </w:endnote>
  <w:endnote w:type="continuationSeparator" w:id="0">
    <w:p w14:paraId="624C5492" w14:textId="77777777" w:rsidR="00165722" w:rsidRDefault="00165722" w:rsidP="00ED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10203993"/>
      <w:docPartObj>
        <w:docPartGallery w:val="Page Numbers (Bottom of Page)"/>
        <w:docPartUnique/>
      </w:docPartObj>
    </w:sdtPr>
    <w:sdtEndPr/>
    <w:sdtContent>
      <w:p w14:paraId="16037DAD" w14:textId="39565032" w:rsidR="00FA0D58" w:rsidRPr="00FA0D58" w:rsidRDefault="00FA0D58">
        <w:pPr>
          <w:pStyle w:val="a6"/>
          <w:jc w:val="center"/>
          <w:rPr>
            <w:rFonts w:ascii="Times New Roman" w:hAnsi="Times New Roman" w:cs="Times New Roman"/>
          </w:rPr>
        </w:pPr>
        <w:r w:rsidRPr="00FA0D58">
          <w:rPr>
            <w:rFonts w:ascii="Times New Roman" w:hAnsi="Times New Roman" w:cs="Times New Roman"/>
          </w:rPr>
          <w:fldChar w:fldCharType="begin"/>
        </w:r>
        <w:r w:rsidRPr="00FA0D58">
          <w:rPr>
            <w:rFonts w:ascii="Times New Roman" w:hAnsi="Times New Roman" w:cs="Times New Roman"/>
          </w:rPr>
          <w:instrText>PAGE   \* MERGEFORMAT</w:instrText>
        </w:r>
        <w:r w:rsidRPr="00FA0D58">
          <w:rPr>
            <w:rFonts w:ascii="Times New Roman" w:hAnsi="Times New Roman" w:cs="Times New Roman"/>
          </w:rPr>
          <w:fldChar w:fldCharType="separate"/>
        </w:r>
        <w:r w:rsidR="006B5AA7" w:rsidRPr="006B5AA7">
          <w:rPr>
            <w:rFonts w:ascii="Times New Roman" w:hAnsi="Times New Roman" w:cs="Times New Roman"/>
            <w:noProof/>
            <w:lang w:val="zh-TW"/>
          </w:rPr>
          <w:t>4</w:t>
        </w:r>
        <w:r w:rsidRPr="00FA0D58">
          <w:rPr>
            <w:rFonts w:ascii="Times New Roman" w:hAnsi="Times New Roman" w:cs="Times New Roman"/>
          </w:rPr>
          <w:fldChar w:fldCharType="end"/>
        </w:r>
      </w:p>
    </w:sdtContent>
  </w:sdt>
  <w:p w14:paraId="4EEEA4C3" w14:textId="77777777" w:rsidR="00FA0D58" w:rsidRDefault="00FA0D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FE7D" w14:textId="77777777" w:rsidR="00165722" w:rsidRDefault="00165722" w:rsidP="00ED2A80">
      <w:r>
        <w:separator/>
      </w:r>
    </w:p>
  </w:footnote>
  <w:footnote w:type="continuationSeparator" w:id="0">
    <w:p w14:paraId="61BA3F7A" w14:textId="77777777" w:rsidR="00165722" w:rsidRDefault="00165722" w:rsidP="00ED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82A"/>
    <w:multiLevelType w:val="hybridMultilevel"/>
    <w:tmpl w:val="05C0E61A"/>
    <w:lvl w:ilvl="0" w:tplc="AB068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2F50FB7"/>
    <w:multiLevelType w:val="hybridMultilevel"/>
    <w:tmpl w:val="6B307526"/>
    <w:lvl w:ilvl="0" w:tplc="CB40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7364E"/>
    <w:multiLevelType w:val="hybridMultilevel"/>
    <w:tmpl w:val="88221546"/>
    <w:lvl w:ilvl="0" w:tplc="40EE3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906B1"/>
    <w:multiLevelType w:val="hybridMultilevel"/>
    <w:tmpl w:val="BA5C1344"/>
    <w:lvl w:ilvl="0" w:tplc="85603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13C3E"/>
    <w:multiLevelType w:val="hybridMultilevel"/>
    <w:tmpl w:val="299456A2"/>
    <w:lvl w:ilvl="0" w:tplc="93EE7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FB0F9C"/>
    <w:multiLevelType w:val="hybridMultilevel"/>
    <w:tmpl w:val="03B0F6C0"/>
    <w:lvl w:ilvl="0" w:tplc="85603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EC07D2"/>
    <w:multiLevelType w:val="hybridMultilevel"/>
    <w:tmpl w:val="AA946BCA"/>
    <w:lvl w:ilvl="0" w:tplc="EC787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B2E52"/>
    <w:multiLevelType w:val="hybridMultilevel"/>
    <w:tmpl w:val="94F28D8E"/>
    <w:lvl w:ilvl="0" w:tplc="37E22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380038"/>
    <w:multiLevelType w:val="hybridMultilevel"/>
    <w:tmpl w:val="BAAA926A"/>
    <w:lvl w:ilvl="0" w:tplc="6BF64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8338AE"/>
    <w:multiLevelType w:val="hybridMultilevel"/>
    <w:tmpl w:val="4956D420"/>
    <w:lvl w:ilvl="0" w:tplc="B7969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BF44D0"/>
    <w:multiLevelType w:val="hybridMultilevel"/>
    <w:tmpl w:val="7C5400CC"/>
    <w:lvl w:ilvl="0" w:tplc="D988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65740"/>
    <w:multiLevelType w:val="hybridMultilevel"/>
    <w:tmpl w:val="81E6C6BC"/>
    <w:lvl w:ilvl="0" w:tplc="41803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CB51AD"/>
    <w:multiLevelType w:val="hybridMultilevel"/>
    <w:tmpl w:val="70CA9902"/>
    <w:lvl w:ilvl="0" w:tplc="8EB09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E71DDB"/>
    <w:multiLevelType w:val="hybridMultilevel"/>
    <w:tmpl w:val="0F28B7FE"/>
    <w:lvl w:ilvl="0" w:tplc="350A1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8C2475"/>
    <w:multiLevelType w:val="hybridMultilevel"/>
    <w:tmpl w:val="6C3E2644"/>
    <w:lvl w:ilvl="0" w:tplc="85603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387039"/>
    <w:multiLevelType w:val="hybridMultilevel"/>
    <w:tmpl w:val="C6C4EFD4"/>
    <w:lvl w:ilvl="0" w:tplc="3324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5C4FAB"/>
    <w:multiLevelType w:val="hybridMultilevel"/>
    <w:tmpl w:val="D9C4AB96"/>
    <w:lvl w:ilvl="0" w:tplc="0D6C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650DD5"/>
    <w:multiLevelType w:val="hybridMultilevel"/>
    <w:tmpl w:val="C172ADD4"/>
    <w:lvl w:ilvl="0" w:tplc="1606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D213DA"/>
    <w:multiLevelType w:val="hybridMultilevel"/>
    <w:tmpl w:val="2EA26876"/>
    <w:lvl w:ilvl="0" w:tplc="78362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226F7C"/>
    <w:multiLevelType w:val="hybridMultilevel"/>
    <w:tmpl w:val="90B04278"/>
    <w:lvl w:ilvl="0" w:tplc="85603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7403DB"/>
    <w:multiLevelType w:val="hybridMultilevel"/>
    <w:tmpl w:val="2F10C9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5B635F"/>
    <w:multiLevelType w:val="hybridMultilevel"/>
    <w:tmpl w:val="3968C802"/>
    <w:lvl w:ilvl="0" w:tplc="84E4B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8"/>
  </w:num>
  <w:num w:numId="5">
    <w:abstractNumId w:val="14"/>
  </w:num>
  <w:num w:numId="6">
    <w:abstractNumId w:val="3"/>
  </w:num>
  <w:num w:numId="7">
    <w:abstractNumId w:val="5"/>
  </w:num>
  <w:num w:numId="8">
    <w:abstractNumId w:val="21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2"/>
  </w:num>
  <w:num w:numId="16">
    <w:abstractNumId w:val="16"/>
  </w:num>
  <w:num w:numId="17">
    <w:abstractNumId w:val="19"/>
  </w:num>
  <w:num w:numId="18">
    <w:abstractNumId w:val="15"/>
  </w:num>
  <w:num w:numId="19">
    <w:abstractNumId w:val="9"/>
  </w:num>
  <w:num w:numId="20">
    <w:abstractNumId w:val="10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sDA1MjGzsDQ2sTRR0lEKTi0uzszPAykwNKwFANoERf4tAAAA"/>
  </w:docVars>
  <w:rsids>
    <w:rsidRoot w:val="003D0D1F"/>
    <w:rsid w:val="0000152A"/>
    <w:rsid w:val="00001E18"/>
    <w:rsid w:val="00013224"/>
    <w:rsid w:val="00031C8D"/>
    <w:rsid w:val="00035387"/>
    <w:rsid w:val="00052C41"/>
    <w:rsid w:val="00081F41"/>
    <w:rsid w:val="0009096B"/>
    <w:rsid w:val="000A4C2C"/>
    <w:rsid w:val="000A68FA"/>
    <w:rsid w:val="000B00C5"/>
    <w:rsid w:val="000B2151"/>
    <w:rsid w:val="000B699D"/>
    <w:rsid w:val="000D233B"/>
    <w:rsid w:val="000E7EE8"/>
    <w:rsid w:val="00107567"/>
    <w:rsid w:val="001337FD"/>
    <w:rsid w:val="00146AD9"/>
    <w:rsid w:val="00165722"/>
    <w:rsid w:val="00171A16"/>
    <w:rsid w:val="001758F7"/>
    <w:rsid w:val="001915A5"/>
    <w:rsid w:val="00191F11"/>
    <w:rsid w:val="001952AD"/>
    <w:rsid w:val="001A6965"/>
    <w:rsid w:val="001C22BD"/>
    <w:rsid w:val="00226345"/>
    <w:rsid w:val="00232E83"/>
    <w:rsid w:val="002335C0"/>
    <w:rsid w:val="00246B83"/>
    <w:rsid w:val="00247F46"/>
    <w:rsid w:val="00250B01"/>
    <w:rsid w:val="002537CF"/>
    <w:rsid w:val="00272FF7"/>
    <w:rsid w:val="00274128"/>
    <w:rsid w:val="00275CB8"/>
    <w:rsid w:val="00277F26"/>
    <w:rsid w:val="002918DF"/>
    <w:rsid w:val="002A0025"/>
    <w:rsid w:val="002D4EDE"/>
    <w:rsid w:val="002E353A"/>
    <w:rsid w:val="002E4869"/>
    <w:rsid w:val="002E5350"/>
    <w:rsid w:val="002F24E5"/>
    <w:rsid w:val="003111AB"/>
    <w:rsid w:val="003209FE"/>
    <w:rsid w:val="00345858"/>
    <w:rsid w:val="00365028"/>
    <w:rsid w:val="003669FB"/>
    <w:rsid w:val="00376169"/>
    <w:rsid w:val="00376E14"/>
    <w:rsid w:val="003A442F"/>
    <w:rsid w:val="003B2CF9"/>
    <w:rsid w:val="003B6C7B"/>
    <w:rsid w:val="003D0D1F"/>
    <w:rsid w:val="003E761C"/>
    <w:rsid w:val="003F0A67"/>
    <w:rsid w:val="003F2DFF"/>
    <w:rsid w:val="004048F5"/>
    <w:rsid w:val="004134A7"/>
    <w:rsid w:val="00416879"/>
    <w:rsid w:val="00417ACF"/>
    <w:rsid w:val="00422C55"/>
    <w:rsid w:val="0043282C"/>
    <w:rsid w:val="00436E7E"/>
    <w:rsid w:val="004504AC"/>
    <w:rsid w:val="00454411"/>
    <w:rsid w:val="00455148"/>
    <w:rsid w:val="004560AF"/>
    <w:rsid w:val="004569A0"/>
    <w:rsid w:val="00456C8A"/>
    <w:rsid w:val="00462FA8"/>
    <w:rsid w:val="00471769"/>
    <w:rsid w:val="00474176"/>
    <w:rsid w:val="00475C30"/>
    <w:rsid w:val="004818BF"/>
    <w:rsid w:val="004A24A1"/>
    <w:rsid w:val="004B1DAD"/>
    <w:rsid w:val="004B1E31"/>
    <w:rsid w:val="004B33F8"/>
    <w:rsid w:val="004B39D6"/>
    <w:rsid w:val="004C42FC"/>
    <w:rsid w:val="004C4535"/>
    <w:rsid w:val="004C45EA"/>
    <w:rsid w:val="004F0D5D"/>
    <w:rsid w:val="00501F5F"/>
    <w:rsid w:val="0050437B"/>
    <w:rsid w:val="0050749B"/>
    <w:rsid w:val="00511564"/>
    <w:rsid w:val="00513D85"/>
    <w:rsid w:val="00514FFE"/>
    <w:rsid w:val="005228CC"/>
    <w:rsid w:val="005301E9"/>
    <w:rsid w:val="00545ACE"/>
    <w:rsid w:val="00552108"/>
    <w:rsid w:val="00567F3B"/>
    <w:rsid w:val="005911D1"/>
    <w:rsid w:val="00593FE0"/>
    <w:rsid w:val="005B1F30"/>
    <w:rsid w:val="005C1C8C"/>
    <w:rsid w:val="005C3544"/>
    <w:rsid w:val="005E670F"/>
    <w:rsid w:val="005F5523"/>
    <w:rsid w:val="006148A9"/>
    <w:rsid w:val="00636651"/>
    <w:rsid w:val="00647AAC"/>
    <w:rsid w:val="006518C6"/>
    <w:rsid w:val="0065301E"/>
    <w:rsid w:val="00661247"/>
    <w:rsid w:val="00666035"/>
    <w:rsid w:val="00684D66"/>
    <w:rsid w:val="0068590B"/>
    <w:rsid w:val="006960DA"/>
    <w:rsid w:val="00696B40"/>
    <w:rsid w:val="006A417A"/>
    <w:rsid w:val="006A69AF"/>
    <w:rsid w:val="006B5AA7"/>
    <w:rsid w:val="006B6CFE"/>
    <w:rsid w:val="006C0F6D"/>
    <w:rsid w:val="006D3ADB"/>
    <w:rsid w:val="006D73AC"/>
    <w:rsid w:val="006F0502"/>
    <w:rsid w:val="006F3347"/>
    <w:rsid w:val="00713999"/>
    <w:rsid w:val="007244A5"/>
    <w:rsid w:val="00750653"/>
    <w:rsid w:val="00755504"/>
    <w:rsid w:val="00774E3F"/>
    <w:rsid w:val="007878FD"/>
    <w:rsid w:val="00793438"/>
    <w:rsid w:val="007938A0"/>
    <w:rsid w:val="007A3B9C"/>
    <w:rsid w:val="007E18B4"/>
    <w:rsid w:val="00810BBB"/>
    <w:rsid w:val="00815A12"/>
    <w:rsid w:val="0081773E"/>
    <w:rsid w:val="00821D68"/>
    <w:rsid w:val="00822A17"/>
    <w:rsid w:val="008236F1"/>
    <w:rsid w:val="00825683"/>
    <w:rsid w:val="0082728B"/>
    <w:rsid w:val="00840E20"/>
    <w:rsid w:val="00860104"/>
    <w:rsid w:val="00860BFD"/>
    <w:rsid w:val="00861249"/>
    <w:rsid w:val="00861C64"/>
    <w:rsid w:val="00873DD6"/>
    <w:rsid w:val="00874261"/>
    <w:rsid w:val="0087522E"/>
    <w:rsid w:val="008951F8"/>
    <w:rsid w:val="008B0D73"/>
    <w:rsid w:val="008B5B74"/>
    <w:rsid w:val="008C5F48"/>
    <w:rsid w:val="008E6E02"/>
    <w:rsid w:val="008E743C"/>
    <w:rsid w:val="008F5C9A"/>
    <w:rsid w:val="00926753"/>
    <w:rsid w:val="009346E4"/>
    <w:rsid w:val="00935F3C"/>
    <w:rsid w:val="00945DC4"/>
    <w:rsid w:val="00952301"/>
    <w:rsid w:val="009601B7"/>
    <w:rsid w:val="00972811"/>
    <w:rsid w:val="00993EAE"/>
    <w:rsid w:val="009A2A88"/>
    <w:rsid w:val="009A5CC0"/>
    <w:rsid w:val="009B2E65"/>
    <w:rsid w:val="009C20D4"/>
    <w:rsid w:val="009C4BBF"/>
    <w:rsid w:val="009C69A0"/>
    <w:rsid w:val="009D555A"/>
    <w:rsid w:val="009E719A"/>
    <w:rsid w:val="00A10D5B"/>
    <w:rsid w:val="00A213EE"/>
    <w:rsid w:val="00A40077"/>
    <w:rsid w:val="00A423B8"/>
    <w:rsid w:val="00A426D9"/>
    <w:rsid w:val="00A5012E"/>
    <w:rsid w:val="00A57031"/>
    <w:rsid w:val="00A80DFE"/>
    <w:rsid w:val="00A94F11"/>
    <w:rsid w:val="00AA26E6"/>
    <w:rsid w:val="00AA760E"/>
    <w:rsid w:val="00AB1AF3"/>
    <w:rsid w:val="00AB358D"/>
    <w:rsid w:val="00AB41BE"/>
    <w:rsid w:val="00AB43CC"/>
    <w:rsid w:val="00AC5726"/>
    <w:rsid w:val="00AD29E0"/>
    <w:rsid w:val="00AE2622"/>
    <w:rsid w:val="00B02833"/>
    <w:rsid w:val="00B130A8"/>
    <w:rsid w:val="00B13EF9"/>
    <w:rsid w:val="00B20EF5"/>
    <w:rsid w:val="00B346F8"/>
    <w:rsid w:val="00B3796B"/>
    <w:rsid w:val="00B5365E"/>
    <w:rsid w:val="00B66BB8"/>
    <w:rsid w:val="00B814B8"/>
    <w:rsid w:val="00B81FC3"/>
    <w:rsid w:val="00B91AAE"/>
    <w:rsid w:val="00B9458E"/>
    <w:rsid w:val="00BA1248"/>
    <w:rsid w:val="00BA68BB"/>
    <w:rsid w:val="00BB5755"/>
    <w:rsid w:val="00BC1D35"/>
    <w:rsid w:val="00BC30A1"/>
    <w:rsid w:val="00BD3E8E"/>
    <w:rsid w:val="00BD78DF"/>
    <w:rsid w:val="00BF02D0"/>
    <w:rsid w:val="00BF2757"/>
    <w:rsid w:val="00BF4704"/>
    <w:rsid w:val="00BF76B8"/>
    <w:rsid w:val="00C122F4"/>
    <w:rsid w:val="00C40686"/>
    <w:rsid w:val="00C4401C"/>
    <w:rsid w:val="00C445C9"/>
    <w:rsid w:val="00C727BD"/>
    <w:rsid w:val="00C808BD"/>
    <w:rsid w:val="00C80F9B"/>
    <w:rsid w:val="00CA4026"/>
    <w:rsid w:val="00CA4BA0"/>
    <w:rsid w:val="00CB74E8"/>
    <w:rsid w:val="00CE2A00"/>
    <w:rsid w:val="00CE3481"/>
    <w:rsid w:val="00CE3CBE"/>
    <w:rsid w:val="00CE57CC"/>
    <w:rsid w:val="00D212B0"/>
    <w:rsid w:val="00D25B66"/>
    <w:rsid w:val="00D277E5"/>
    <w:rsid w:val="00D31198"/>
    <w:rsid w:val="00D31224"/>
    <w:rsid w:val="00D421C9"/>
    <w:rsid w:val="00D64025"/>
    <w:rsid w:val="00D65A50"/>
    <w:rsid w:val="00D67756"/>
    <w:rsid w:val="00D7266E"/>
    <w:rsid w:val="00D73833"/>
    <w:rsid w:val="00D73CAD"/>
    <w:rsid w:val="00D7515F"/>
    <w:rsid w:val="00D8531B"/>
    <w:rsid w:val="00D93054"/>
    <w:rsid w:val="00D958B7"/>
    <w:rsid w:val="00DA1A6E"/>
    <w:rsid w:val="00DA1EEC"/>
    <w:rsid w:val="00DA77EE"/>
    <w:rsid w:val="00DB02D9"/>
    <w:rsid w:val="00DB28D5"/>
    <w:rsid w:val="00DB6B89"/>
    <w:rsid w:val="00DC0DE4"/>
    <w:rsid w:val="00DC7569"/>
    <w:rsid w:val="00DC7BF6"/>
    <w:rsid w:val="00DD1125"/>
    <w:rsid w:val="00DE4D26"/>
    <w:rsid w:val="00DF60B0"/>
    <w:rsid w:val="00E23715"/>
    <w:rsid w:val="00E43531"/>
    <w:rsid w:val="00E47605"/>
    <w:rsid w:val="00E5670A"/>
    <w:rsid w:val="00E60F24"/>
    <w:rsid w:val="00E660FF"/>
    <w:rsid w:val="00E7012D"/>
    <w:rsid w:val="00E73856"/>
    <w:rsid w:val="00E8182D"/>
    <w:rsid w:val="00E83CAB"/>
    <w:rsid w:val="00E86D66"/>
    <w:rsid w:val="00E97AFF"/>
    <w:rsid w:val="00EB348F"/>
    <w:rsid w:val="00EB47C1"/>
    <w:rsid w:val="00EC2550"/>
    <w:rsid w:val="00ED2A80"/>
    <w:rsid w:val="00EF138F"/>
    <w:rsid w:val="00F02196"/>
    <w:rsid w:val="00F252B0"/>
    <w:rsid w:val="00F3469B"/>
    <w:rsid w:val="00F465A2"/>
    <w:rsid w:val="00F6665A"/>
    <w:rsid w:val="00F66DE0"/>
    <w:rsid w:val="00F725A5"/>
    <w:rsid w:val="00F8794D"/>
    <w:rsid w:val="00F95866"/>
    <w:rsid w:val="00FA0D58"/>
    <w:rsid w:val="00FA1238"/>
    <w:rsid w:val="00FB1BE9"/>
    <w:rsid w:val="00FB6D3B"/>
    <w:rsid w:val="00FC5C1B"/>
    <w:rsid w:val="00FD23AD"/>
    <w:rsid w:val="00FD7746"/>
    <w:rsid w:val="00FE2BEC"/>
    <w:rsid w:val="00FE47E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2103D"/>
  <w15:chartTrackingRefBased/>
  <w15:docId w15:val="{8328D9BA-DBE0-429A-9B27-6837FEA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025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2A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2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2A80"/>
    <w:rPr>
      <w:sz w:val="20"/>
      <w:szCs w:val="20"/>
    </w:rPr>
  </w:style>
  <w:style w:type="paragraph" w:styleId="a8">
    <w:name w:val="List Paragraph"/>
    <w:basedOn w:val="a"/>
    <w:uiPriority w:val="34"/>
    <w:qFormat/>
    <w:rsid w:val="002E5350"/>
    <w:pPr>
      <w:widowControl/>
      <w:ind w:left="720"/>
    </w:pPr>
    <w:rPr>
      <w:rFonts w:ascii="Times New Roman" w:hAnsi="Times New Roman" w:cs="Times New Roman"/>
      <w:kern w:val="0"/>
      <w:szCs w:val="24"/>
      <w:lang w:eastAsia="en-US"/>
    </w:rPr>
  </w:style>
  <w:style w:type="table" w:customStyle="1" w:styleId="1">
    <w:name w:val="表格格線1"/>
    <w:basedOn w:val="a1"/>
    <w:next w:val="a3"/>
    <w:uiPriority w:val="39"/>
    <w:rsid w:val="009A2A88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Yi-hao</dc:creator>
  <cp:keywords/>
  <dc:description/>
  <cp:lastModifiedBy>kuanjr</cp:lastModifiedBy>
  <cp:revision>273</cp:revision>
  <dcterms:created xsi:type="dcterms:W3CDTF">2019-09-02T14:35:00Z</dcterms:created>
  <dcterms:modified xsi:type="dcterms:W3CDTF">2019-12-24T01:16:00Z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id="mifbbl4U"/&gt;&lt;style id="" hasBibliography="0" bibliographyStyleHasBeenSet="0"/&gt;&lt;prefs/&gt;&lt;/data&gt;</vt:lpwstr>
  </property>
</Properties>
</file>