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10466"/>
      </w:tblGrid>
      <w:tr w:rsidR="00B5215D" w:rsidRPr="00DE420A" w:rsidTr="00B5215D">
        <w:trPr>
          <w:trHeight w:val="31578"/>
          <w:tblCellSpacing w:w="7" w:type="dxa"/>
          <w:jc w:val="center"/>
        </w:trPr>
        <w:tc>
          <w:tcPr>
            <w:tcW w:w="0" w:type="auto"/>
            <w:vAlign w:val="center"/>
            <w:hideMark/>
          </w:tcPr>
          <w:tbl>
            <w:tblPr>
              <w:tblW w:w="4978"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92"/>
            </w:tblGrid>
            <w:tr w:rsidR="00DE420A" w:rsidRPr="00DE420A" w:rsidTr="00B5215D">
              <w:trPr>
                <w:trHeight w:val="834"/>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DE420A" w:rsidRPr="00DE420A" w:rsidRDefault="00DE420A" w:rsidP="00B5215D">
                  <w:pPr>
                    <w:widowControl/>
                    <w:tabs>
                      <w:tab w:val="left" w:pos="10568"/>
                      <w:tab w:val="left" w:pos="10958"/>
                    </w:tabs>
                    <w:spacing w:line="360" w:lineRule="atLeast"/>
                    <w:ind w:leftChars="4388" w:left="10531" w:rightChars="4496" w:right="10790"/>
                    <w:jc w:val="center"/>
                    <w:rPr>
                      <w:rFonts w:ascii="新細明體" w:eastAsia="新細明體" w:hAnsi="新細明體" w:cs="新細明體"/>
                      <w:kern w:val="0"/>
                      <w:szCs w:val="24"/>
                    </w:rPr>
                  </w:pPr>
                  <w:bookmarkStart w:id="0" w:name="_GoBack"/>
                  <w:bookmarkEnd w:id="0"/>
                  <w:r w:rsidRPr="00DE420A">
                    <w:rPr>
                      <w:rFonts w:ascii="新細明體" w:eastAsia="新細明體" w:hAnsi="新細明體" w:cs="新細明體"/>
                      <w:b/>
                      <w:bCs/>
                      <w:kern w:val="0"/>
                      <w:szCs w:val="24"/>
                    </w:rPr>
                    <w:t>課程資訊</w:t>
                  </w:r>
                </w:p>
              </w:tc>
            </w:tr>
          </w:tbl>
          <w:p w:rsidR="00DE420A" w:rsidRPr="00DE420A" w:rsidRDefault="00DE420A" w:rsidP="00DE420A">
            <w:pPr>
              <w:widowControl/>
              <w:spacing w:line="360" w:lineRule="atLeast"/>
              <w:rPr>
                <w:rFonts w:ascii="Times New Roman" w:eastAsia="新細明體" w:hAnsi="Times New Roman" w:cs="Times New Roman"/>
                <w:vanish/>
                <w:kern w:val="0"/>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5"/>
              <w:gridCol w:w="9467"/>
            </w:tblGrid>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課程名稱</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健康研究法原理及應用</w:t>
                  </w:r>
                  <w:r w:rsidRPr="00DE420A">
                    <w:rPr>
                      <w:rFonts w:ascii="新細明體" w:eastAsia="新細明體" w:hAnsi="新細明體" w:cs="新細明體"/>
                      <w:kern w:val="0"/>
                      <w:szCs w:val="24"/>
                    </w:rPr>
                    <w:br/>
                    <w:t>Principle and Application in Health Research Methods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開課學期</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Pr>
                      <w:rFonts w:ascii="新細明體" w:eastAsia="新細明體" w:hAnsi="新細明體" w:cs="新細明體"/>
                      <w:kern w:val="0"/>
                      <w:szCs w:val="24"/>
                    </w:rPr>
                    <w:t>10</w:t>
                  </w:r>
                  <w:r>
                    <w:rPr>
                      <w:rFonts w:ascii="新細明體" w:eastAsia="新細明體" w:hAnsi="新細明體" w:cs="新細明體" w:hint="eastAsia"/>
                      <w:kern w:val="0"/>
                      <w:szCs w:val="24"/>
                    </w:rPr>
                    <w:t>8-2</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授課對象</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公共衛生學院</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授課教師</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Pr>
                      <w:rFonts w:ascii="新細明體" w:eastAsia="新細明體" w:hAnsi="新細明體" w:cs="新細明體"/>
                      <w:kern w:val="0"/>
                      <w:szCs w:val="24"/>
                    </w:rPr>
                    <w:t>陳保中</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課號</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C43813" w:rsidP="00DE420A">
                  <w:pPr>
                    <w:widowControl/>
                    <w:spacing w:line="360" w:lineRule="atLeast"/>
                    <w:rPr>
                      <w:rFonts w:ascii="新細明體" w:eastAsia="新細明體" w:hAnsi="新細明體" w:cs="新細明體"/>
                      <w:kern w:val="0"/>
                      <w:szCs w:val="24"/>
                    </w:rPr>
                  </w:pPr>
                  <w:r>
                    <w:rPr>
                      <w:rFonts w:ascii="新細明體" w:eastAsia="新細明體" w:hAnsi="新細明體" w:cs="新細明體" w:hint="eastAsia"/>
                      <w:kern w:val="0"/>
                      <w:szCs w:val="24"/>
                    </w:rPr>
                    <w:t>MGH</w:t>
                  </w:r>
                  <w:r>
                    <w:rPr>
                      <w:rFonts w:ascii="新細明體" w:eastAsia="新細明體" w:hAnsi="新細明體" w:cs="新細明體"/>
                      <w:kern w:val="0"/>
                      <w:szCs w:val="24"/>
                    </w:rPr>
                    <w:t>7024</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課程識別碼</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C43813" w:rsidP="00DE420A">
                  <w:pPr>
                    <w:widowControl/>
                    <w:spacing w:line="360" w:lineRule="atLeast"/>
                    <w:rPr>
                      <w:rFonts w:ascii="新細明體" w:eastAsia="新細明體" w:hAnsi="新細明體" w:cs="新細明體"/>
                      <w:kern w:val="0"/>
                      <w:szCs w:val="24"/>
                    </w:rPr>
                  </w:pPr>
                  <w:r>
                    <w:rPr>
                      <w:rFonts w:ascii="新細明體" w:eastAsia="新細明體" w:hAnsi="新細明體" w:cs="新細明體" w:hint="eastAsia"/>
                      <w:kern w:val="0"/>
                      <w:szCs w:val="24"/>
                    </w:rPr>
                    <w:t>853 M0240</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班次</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學分</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3.0 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全/半年</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半年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必/選修</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287A5D" w:rsidRDefault="00C43813" w:rsidP="00DE420A">
                  <w:pPr>
                    <w:widowControl/>
                    <w:spacing w:line="360" w:lineRule="atLeast"/>
                    <w:rPr>
                      <w:rFonts w:ascii="新細明體" w:eastAsia="新細明體" w:hAnsi="新細明體" w:cs="新細明體"/>
                      <w:color w:val="FF0000"/>
                      <w:kern w:val="0"/>
                      <w:szCs w:val="24"/>
                      <w:highlight w:val="yellow"/>
                    </w:rPr>
                  </w:pPr>
                  <w:r w:rsidRPr="00287A5D">
                    <w:rPr>
                      <w:rFonts w:ascii="新細明體" w:eastAsia="新細明體" w:hAnsi="新細明體" w:cs="新細明體" w:hint="eastAsia"/>
                      <w:kern w:val="0"/>
                      <w:szCs w:val="24"/>
                    </w:rPr>
                    <w:t>選</w:t>
                  </w:r>
                  <w:r w:rsidR="00DE420A" w:rsidRPr="00287A5D">
                    <w:rPr>
                      <w:rFonts w:ascii="新細明體" w:eastAsia="新細明體" w:hAnsi="新細明體" w:cs="新細明體"/>
                      <w:kern w:val="0"/>
                      <w:szCs w:val="24"/>
                    </w:rPr>
                    <w:t>修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上課時間</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287A5D" w:rsidRDefault="00DE420A" w:rsidP="00DE420A">
                  <w:pPr>
                    <w:widowControl/>
                    <w:spacing w:line="360" w:lineRule="atLeast"/>
                    <w:rPr>
                      <w:rFonts w:ascii="新細明體" w:eastAsia="新細明體" w:hAnsi="新細明體" w:cs="新細明體"/>
                      <w:color w:val="FF0000"/>
                      <w:kern w:val="0"/>
                      <w:szCs w:val="24"/>
                      <w:highlight w:val="yellow"/>
                    </w:rPr>
                  </w:pPr>
                  <w:r w:rsidRPr="00287A5D">
                    <w:rPr>
                      <w:rFonts w:ascii="新細明體" w:eastAsia="新細明體" w:hAnsi="新細明體" w:cs="新細明體"/>
                      <w:color w:val="FF0000"/>
                      <w:kern w:val="0"/>
                      <w:szCs w:val="24"/>
                      <w:highlight w:val="yellow"/>
                    </w:rPr>
                    <w:t>星期三6,7,8(13:20~16:20)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上課地點</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公衛</w:t>
                  </w:r>
                  <w:r w:rsidR="00F828CC">
                    <w:rPr>
                      <w:rFonts w:ascii="新細明體" w:eastAsia="新細明體" w:hAnsi="新細明體" w:cs="新細明體"/>
                      <w:kern w:val="0"/>
                      <w:szCs w:val="24"/>
                    </w:rPr>
                    <w:t>105</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備註</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287A5D">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本課程以英語授課。</w:t>
                  </w:r>
                  <w:r w:rsidRPr="00287A5D">
                    <w:rPr>
                      <w:rFonts w:ascii="新細明體" w:eastAsia="新細明體" w:hAnsi="新細明體" w:cs="新細明體"/>
                      <w:color w:val="FF0000"/>
                      <w:kern w:val="0"/>
                      <w:szCs w:val="24"/>
                      <w:highlight w:val="yellow"/>
                    </w:rPr>
                    <w:t>全球組博班必修</w:t>
                  </w:r>
                  <w:r w:rsidRPr="00DE420A">
                    <w:rPr>
                      <w:rFonts w:ascii="新細明體" w:eastAsia="新細明體" w:hAnsi="新細明體" w:cs="新細明體"/>
                      <w:kern w:val="0"/>
                      <w:szCs w:val="24"/>
                    </w:rPr>
                    <w:t>。</w:t>
                  </w:r>
                  <w:r w:rsidRPr="00B5215D">
                    <w:rPr>
                      <w:rFonts w:ascii="新細明體" w:eastAsia="新細明體" w:hAnsi="新細明體" w:cs="新細明體"/>
                      <w:color w:val="FF0000"/>
                      <w:kern w:val="0"/>
                      <w:szCs w:val="24"/>
                      <w:highlight w:val="yellow"/>
                    </w:rPr>
                    <w:t>與楊銘欽、蕭朱杏、簡國龍、林先和合授</w:t>
                  </w:r>
                  <w:r w:rsidRPr="00B5215D">
                    <w:rPr>
                      <w:rFonts w:ascii="新細明體" w:eastAsia="新細明體" w:hAnsi="新細明體" w:cs="新細明體"/>
                      <w:color w:val="FF0000"/>
                      <w:kern w:val="0"/>
                      <w:szCs w:val="24"/>
                      <w:highlight w:val="yellow"/>
                    </w:rPr>
                    <w:br/>
                    <w:t>總人數上限：12人</w:t>
                  </w:r>
                  <w:r w:rsidRPr="00B5215D">
                    <w:rPr>
                      <w:rFonts w:ascii="新細明體" w:eastAsia="新細明體" w:hAnsi="新細明體" w:cs="新細明體"/>
                      <w:color w:val="FF0000"/>
                      <w:kern w:val="0"/>
                      <w:szCs w:val="24"/>
                    </w:rPr>
                    <w:t>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Ceiba 課程網頁</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課程簡介影片</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核心能力關聯</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p>
              </w:tc>
            </w:tr>
            <w:tr w:rsidR="00DE420A" w:rsidRPr="00DE420A" w:rsidTr="00B5215D">
              <w:trPr>
                <w:tblCellSpacing w:w="0" w:type="dxa"/>
              </w:trPr>
              <w:tc>
                <w:tcPr>
                  <w:tcW w:w="31606" w:type="dxa"/>
                  <w:gridSpan w:val="2"/>
                  <w:tcBorders>
                    <w:top w:val="outset" w:sz="6" w:space="0" w:color="auto"/>
                    <w:left w:val="outset" w:sz="6" w:space="0" w:color="auto"/>
                    <w:bottom w:val="outset" w:sz="6" w:space="0" w:color="auto"/>
                    <w:right w:val="outset" w:sz="6" w:space="0" w:color="auto"/>
                  </w:tcBorders>
                  <w:shd w:val="clear" w:color="auto" w:fill="99CCFF"/>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b/>
                      <w:bCs/>
                      <w:kern w:val="0"/>
                      <w:szCs w:val="24"/>
                    </w:rPr>
                    <w:t>課程大綱</w:t>
                  </w:r>
                </w:p>
              </w:tc>
            </w:tr>
            <w:tr w:rsidR="00DE420A" w:rsidRPr="00DE420A" w:rsidTr="00B5215D">
              <w:trPr>
                <w:tblCellSpacing w:w="0" w:type="dxa"/>
              </w:trPr>
              <w:tc>
                <w:tcPr>
                  <w:tcW w:w="31606"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b/>
                      <w:bCs/>
                      <w:kern w:val="0"/>
                      <w:szCs w:val="24"/>
                    </w:rPr>
                    <w:t>為確保您我的權利,請尊重智慧財產權及不得非法影印</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課程概述</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before="100" w:beforeAutospacing="1" w:after="100" w:afterAutospacing="1"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The module will be delivered over one semester, as a blend of small group work and lectures, practical exercises, group project, presentation and in-class discussion of reading tasks.</w:t>
                  </w:r>
                  <w:r w:rsidRPr="00DE420A">
                    <w:rPr>
                      <w:rFonts w:ascii="新細明體" w:eastAsia="新細明體" w:hAnsi="新細明體" w:cs="新細明體"/>
                      <w:kern w:val="0"/>
                      <w:szCs w:val="24"/>
                    </w:rPr>
                    <w:br/>
                    <w:t>課程將會以講課、分組討論、演練、小組報告、指定閱讀討論進行授課。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lastRenderedPageBreak/>
                    <w:t>課程目標</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The aim of this course is to introduce concepts of study design, data collection and statistical analysis commonly used in public health research with a strong focus in global health.</w:t>
                  </w:r>
                  <w:r w:rsidRPr="00DE420A">
                    <w:rPr>
                      <w:rFonts w:ascii="新細明體" w:eastAsia="新細明體" w:hAnsi="新細明體" w:cs="新細明體"/>
                      <w:kern w:val="0"/>
                      <w:szCs w:val="24"/>
                    </w:rPr>
                    <w:br/>
                    <w:t>課程目標為介紹公共衛生研究常用到的實驗設計、資料收集和統計分析方法。上課內容會特別偏重這些研究工具在全球衛生研究的應用。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課程要求</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B5215D">
                  <w:pPr>
                    <w:widowControl/>
                    <w:spacing w:line="360" w:lineRule="atLeast"/>
                    <w:ind w:leftChars="175" w:left="420"/>
                    <w:rPr>
                      <w:rFonts w:ascii="新細明體" w:eastAsia="新細明體" w:hAnsi="新細明體" w:cs="新細明體"/>
                      <w:kern w:val="0"/>
                      <w:szCs w:val="24"/>
                    </w:rPr>
                  </w:pPr>
                  <w:r w:rsidRPr="00DE420A">
                    <w:rPr>
                      <w:rFonts w:ascii="新細明體" w:eastAsia="新細明體" w:hAnsi="新細明體" w:cs="新細明體"/>
                      <w:kern w:val="0"/>
                      <w:szCs w:val="24"/>
                    </w:rPr>
                    <w:t>1. Active participations in the discussion and presentation of reading tasks are requirements for all students.</w:t>
                  </w:r>
                  <w:r w:rsidRPr="00DE420A">
                    <w:rPr>
                      <w:rFonts w:ascii="新細明體" w:eastAsia="新細明體" w:hAnsi="新細明體" w:cs="新細明體"/>
                      <w:kern w:val="0"/>
                      <w:szCs w:val="24"/>
                    </w:rPr>
                    <w:br/>
                    <w:t>2. On the completion of this course, students will identify a specific research topic related to global health and use the skills and knowledge taught in the course to undertake a critical review of the literature relating to the identified research topic/problem, design a study to investigate the problem, and write an appropriate protocol for conducting a research project on the topic, including ethical aspects of their research.</w:t>
                  </w:r>
                  <w:r w:rsidRPr="00DE420A">
                    <w:rPr>
                      <w:rFonts w:ascii="新細明體" w:eastAsia="新細明體" w:hAnsi="新細明體" w:cs="新細明體"/>
                      <w:kern w:val="0"/>
                      <w:szCs w:val="24"/>
                    </w:rPr>
                    <w:br/>
                    <w:t>3. For the mid-term presentation, each student is required to do a 15-minutes presentation on her/his identified research topic. The content of presentation should include a preliminary report of background, literature search strategy and research hypotheses.</w:t>
                  </w:r>
                  <w:r w:rsidRPr="00DE420A">
                    <w:rPr>
                      <w:rFonts w:ascii="新細明體" w:eastAsia="新細明體" w:hAnsi="新細明體" w:cs="新細明體"/>
                      <w:kern w:val="0"/>
                      <w:szCs w:val="24"/>
                    </w:rPr>
                    <w:br/>
                    <w:t>4. For the final presentation, each student is required to do a 15-minutes presentation on her/his research proposal for the identified topic. The content of presentation should include a report of background, literature review, research hypotheses, study design and statistical methods.</w:t>
                  </w:r>
                  <w:r w:rsidRPr="00DE420A">
                    <w:rPr>
                      <w:rFonts w:ascii="新細明體" w:eastAsia="新細明體" w:hAnsi="新細明體" w:cs="新細明體"/>
                      <w:kern w:val="0"/>
                      <w:szCs w:val="24"/>
                    </w:rPr>
                    <w:br/>
                    <w:t>5. Each student is required to submit a final written report in the format of a research project proposal, including project title and sections on research background, literature review, materials and methods, and expected outcomes.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Office Hours</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每週三 16:30~17:20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參考書目</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Required textbook:</w:t>
                  </w:r>
                  <w:r w:rsidRPr="00DE420A">
                    <w:rPr>
                      <w:rFonts w:ascii="新細明體" w:eastAsia="新細明體" w:hAnsi="新細明體" w:cs="新細明體"/>
                      <w:kern w:val="0"/>
                      <w:szCs w:val="24"/>
                    </w:rPr>
                    <w:br/>
                    <w:t>1. Jacobsen, Kathryn H (2012) Introduction to Health Research Methods: A</w:t>
                  </w:r>
                  <w:r w:rsidRPr="00DE420A">
                    <w:rPr>
                      <w:rFonts w:ascii="新細明體" w:eastAsia="新細明體" w:hAnsi="新細明體" w:cs="新細明體"/>
                      <w:kern w:val="0"/>
                      <w:szCs w:val="24"/>
                    </w:rPr>
                    <w:br/>
                    <w:t>Practical Guide. Sudbury, Massachusetts: Jones &amp; Bartlett Learning.</w:t>
                  </w:r>
                  <w:r w:rsidRPr="00DE420A">
                    <w:rPr>
                      <w:rFonts w:ascii="新細明體" w:eastAsia="新細明體" w:hAnsi="新細明體" w:cs="新細明體"/>
                      <w:kern w:val="0"/>
                      <w:szCs w:val="24"/>
                    </w:rPr>
                    <w:br/>
                    <w:t>Suggested reading:</w:t>
                  </w:r>
                  <w:r w:rsidRPr="00DE420A">
                    <w:rPr>
                      <w:rFonts w:ascii="新細明體" w:eastAsia="新細明體" w:hAnsi="新細明體" w:cs="新細明體"/>
                      <w:kern w:val="0"/>
                      <w:szCs w:val="24"/>
                    </w:rPr>
                    <w:br/>
                    <w:t>2. Bowling, Ann (2009) Research Methods in Health: Investigating Health and</w:t>
                  </w:r>
                  <w:r w:rsidRPr="00DE420A">
                    <w:rPr>
                      <w:rFonts w:ascii="新細明體" w:eastAsia="新細明體" w:hAnsi="新細明體" w:cs="新細明體"/>
                      <w:kern w:val="0"/>
                      <w:szCs w:val="24"/>
                    </w:rPr>
                    <w:br/>
                    <w:t>Health Services New York, NY: McGraw Hill/Open University Press.</w:t>
                  </w:r>
                  <w:r w:rsidRPr="00DE420A">
                    <w:rPr>
                      <w:rFonts w:ascii="新細明體" w:eastAsia="新細明體" w:hAnsi="新細明體" w:cs="新細明體"/>
                      <w:kern w:val="0"/>
                      <w:szCs w:val="24"/>
                    </w:rPr>
                    <w:br/>
                    <w:t>3. Ogden, Thomas E (2002) Research Proposals: A Guide to Success. San Diego,</w:t>
                  </w:r>
                  <w:r w:rsidRPr="00DE420A">
                    <w:rPr>
                      <w:rFonts w:ascii="新細明體" w:eastAsia="新細明體" w:hAnsi="新細明體" w:cs="新細明體"/>
                      <w:kern w:val="0"/>
                      <w:szCs w:val="24"/>
                    </w:rPr>
                    <w:br/>
                    <w:t>Calif. : Academic Press.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指定閱讀</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Supplementary material will be distributed during the class</w:t>
                  </w:r>
                  <w:r w:rsidRPr="00DE420A">
                    <w:rPr>
                      <w:rFonts w:ascii="新細明體" w:eastAsia="新細明體" w:hAnsi="新細明體" w:cs="新細明體"/>
                      <w:kern w:val="0"/>
                      <w:szCs w:val="24"/>
                    </w:rPr>
                    <w:br/>
                    <w:t>. </w:t>
                  </w:r>
                </w:p>
              </w:tc>
            </w:tr>
            <w:tr w:rsidR="00DE420A" w:rsidRPr="00DE420A" w:rsidTr="00B5215D">
              <w:trPr>
                <w:tblCellSpacing w:w="0" w:type="dxa"/>
              </w:trPr>
              <w:tc>
                <w:tcPr>
                  <w:tcW w:w="16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評量方式</w:t>
                  </w:r>
                  <w:r w:rsidRPr="00DE420A">
                    <w:rPr>
                      <w:rFonts w:ascii="新細明體" w:eastAsia="新細明體" w:hAnsi="新細明體" w:cs="新細明體"/>
                      <w:kern w:val="0"/>
                      <w:szCs w:val="24"/>
                    </w:rPr>
                    <w:br/>
                    <w:t>(僅供參考)</w:t>
                  </w:r>
                </w:p>
              </w:tc>
              <w:tc>
                <w:tcPr>
                  <w:tcW w:w="2991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
                    <w:gridCol w:w="6451"/>
                    <w:gridCol w:w="566"/>
                    <w:gridCol w:w="1735"/>
                  </w:tblGrid>
                  <w:tr w:rsidR="00DE420A" w:rsidRPr="00DE420A" w:rsidTr="00B5215D">
                    <w:trPr>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No.</w:t>
                        </w:r>
                      </w:p>
                    </w:tc>
                    <w:tc>
                      <w:tcPr>
                        <w:tcW w:w="2209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項目</w:t>
                        </w:r>
                      </w:p>
                    </w:tc>
                    <w:tc>
                      <w:tcPr>
                        <w:tcW w:w="7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百分比</w:t>
                        </w:r>
                      </w:p>
                    </w:tc>
                    <w:tc>
                      <w:tcPr>
                        <w:tcW w:w="594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說明</w:t>
                        </w:r>
                      </w:p>
                    </w:tc>
                  </w:tr>
                  <w:tr w:rsidR="00DE420A" w:rsidRPr="00DE420A" w:rsidTr="00B5215D">
                    <w:trPr>
                      <w:tblCellSpacing w:w="0" w:type="dxa"/>
                      <w:jc w:val="center"/>
                    </w:trPr>
                    <w:tc>
                      <w:tcPr>
                        <w:tcW w:w="422"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1. </w:t>
                        </w:r>
                      </w:p>
                    </w:tc>
                    <w:tc>
                      <w:tcPr>
                        <w:tcW w:w="2209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Final written report </w:t>
                        </w:r>
                      </w:p>
                    </w:tc>
                    <w:tc>
                      <w:tcPr>
                        <w:tcW w:w="75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50% </w:t>
                        </w:r>
                      </w:p>
                    </w:tc>
                    <w:tc>
                      <w:tcPr>
                        <w:tcW w:w="594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c>
                  </w:tr>
                  <w:tr w:rsidR="00DE420A" w:rsidRPr="00DE420A" w:rsidTr="00B5215D">
                    <w:trPr>
                      <w:tblCellSpacing w:w="0" w:type="dxa"/>
                      <w:jc w:val="center"/>
                    </w:trPr>
                    <w:tc>
                      <w:tcPr>
                        <w:tcW w:w="422"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2. </w:t>
                        </w:r>
                      </w:p>
                    </w:tc>
                    <w:tc>
                      <w:tcPr>
                        <w:tcW w:w="2209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Final presentation </w:t>
                        </w:r>
                      </w:p>
                    </w:tc>
                    <w:tc>
                      <w:tcPr>
                        <w:tcW w:w="75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20% </w:t>
                        </w:r>
                      </w:p>
                    </w:tc>
                    <w:tc>
                      <w:tcPr>
                        <w:tcW w:w="594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c>
                  </w:tr>
                  <w:tr w:rsidR="00DE420A" w:rsidRPr="00DE420A" w:rsidTr="00B5215D">
                    <w:trPr>
                      <w:tblCellSpacing w:w="0" w:type="dxa"/>
                      <w:jc w:val="center"/>
                    </w:trPr>
                    <w:tc>
                      <w:tcPr>
                        <w:tcW w:w="422"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3. </w:t>
                        </w:r>
                      </w:p>
                    </w:tc>
                    <w:tc>
                      <w:tcPr>
                        <w:tcW w:w="2209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Mid-term presentation </w:t>
                        </w:r>
                      </w:p>
                    </w:tc>
                    <w:tc>
                      <w:tcPr>
                        <w:tcW w:w="75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20% </w:t>
                        </w:r>
                      </w:p>
                    </w:tc>
                    <w:tc>
                      <w:tcPr>
                        <w:tcW w:w="594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c>
                  </w:tr>
                  <w:tr w:rsidR="00DE420A" w:rsidRPr="00DE420A" w:rsidTr="00B5215D">
                    <w:trPr>
                      <w:tblCellSpacing w:w="0" w:type="dxa"/>
                      <w:jc w:val="center"/>
                    </w:trPr>
                    <w:tc>
                      <w:tcPr>
                        <w:tcW w:w="422"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lastRenderedPageBreak/>
                          <w:t>4. </w:t>
                        </w:r>
                      </w:p>
                    </w:tc>
                    <w:tc>
                      <w:tcPr>
                        <w:tcW w:w="2209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Class participation </w:t>
                        </w:r>
                      </w:p>
                    </w:tc>
                    <w:tc>
                      <w:tcPr>
                        <w:tcW w:w="750"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10% </w:t>
                        </w:r>
                      </w:p>
                    </w:tc>
                    <w:tc>
                      <w:tcPr>
                        <w:tcW w:w="5943" w:type="dxa"/>
                        <w:tcBorders>
                          <w:top w:val="outset" w:sz="6" w:space="0" w:color="auto"/>
                          <w:left w:val="outset" w:sz="6" w:space="0" w:color="auto"/>
                          <w:bottom w:val="outset" w:sz="6" w:space="0" w:color="auto"/>
                          <w:right w:val="outset" w:sz="6" w:space="0" w:color="auto"/>
                        </w:tcBorders>
                        <w:vAlign w:val="center"/>
                        <w:hideMark/>
                      </w:tcPr>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c>
                  </w:tr>
                </w:tbl>
                <w:p w:rsidR="00DE420A" w:rsidRPr="00DE420A" w:rsidRDefault="00DE420A"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w:t>
                  </w:r>
                </w:p>
              </w:tc>
            </w:tr>
          </w:tbl>
          <w:p w:rsidR="00DE420A" w:rsidRPr="00DE420A" w:rsidRDefault="00DE420A" w:rsidP="00DE420A">
            <w:pPr>
              <w:widowControl/>
              <w:spacing w:line="360" w:lineRule="atLeast"/>
              <w:rPr>
                <w:rFonts w:ascii="Times New Roman" w:eastAsia="新細明體" w:hAnsi="Times New Roman" w:cs="Times New Roman"/>
                <w:vanish/>
                <w:kern w:val="0"/>
                <w:szCs w:val="24"/>
              </w:rPr>
            </w:pPr>
          </w:p>
          <w:p w:rsidR="00D04A09" w:rsidRDefault="00D04A09"/>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92"/>
            </w:tblGrid>
            <w:tr w:rsidR="00DE420A" w:rsidRPr="00DE420A" w:rsidTr="00B5215D">
              <w:trPr>
                <w:tblCellSpacing w:w="0" w:type="dxa"/>
              </w:trPr>
              <w:tc>
                <w:tcPr>
                  <w:tcW w:w="3160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E420A" w:rsidRPr="00DE420A" w:rsidRDefault="00DE420A"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b/>
                      <w:bCs/>
                      <w:kern w:val="0"/>
                      <w:szCs w:val="24"/>
                    </w:rPr>
                    <w:t>課程進度</w:t>
                  </w:r>
                </w:p>
              </w:tc>
            </w:tr>
          </w:tbl>
          <w:p w:rsidR="00DE420A" w:rsidRPr="00DE420A" w:rsidRDefault="00DE420A" w:rsidP="00DE420A">
            <w:pPr>
              <w:widowControl/>
              <w:spacing w:line="360" w:lineRule="atLeast"/>
              <w:rPr>
                <w:rFonts w:ascii="Times New Roman" w:eastAsia="新細明體" w:hAnsi="Times New Roman" w:cs="Times New Roman"/>
                <w:vanish/>
                <w:kern w:val="0"/>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4"/>
              <w:gridCol w:w="865"/>
              <w:gridCol w:w="5949"/>
              <w:gridCol w:w="2192"/>
            </w:tblGrid>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週次</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日期</w:t>
                  </w:r>
                </w:p>
              </w:tc>
              <w:tc>
                <w:tcPr>
                  <w:tcW w:w="649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單元主題</w:t>
                  </w:r>
                </w:p>
              </w:tc>
              <w:tc>
                <w:tcPr>
                  <w:tcW w:w="2427" w:type="dxa"/>
                  <w:tcBorders>
                    <w:top w:val="single" w:sz="24" w:space="0" w:color="ED7D31" w:themeColor="accent2"/>
                    <w:left w:val="single" w:sz="24" w:space="0" w:color="ED7D31" w:themeColor="accent2"/>
                    <w:bottom w:val="outset" w:sz="6" w:space="0" w:color="auto"/>
                    <w:right w:val="single" w:sz="24" w:space="0" w:color="ED7D31" w:themeColor="accent2"/>
                  </w:tcBorders>
                  <w:shd w:val="clear" w:color="auto" w:fill="CCCCCC"/>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04A09">
                    <w:rPr>
                      <w:rFonts w:ascii="新細明體" w:eastAsia="新細明體" w:hAnsi="新細明體" w:cs="新細明體" w:hint="eastAsia"/>
                      <w:color w:val="4472C4" w:themeColor="accent5"/>
                      <w:kern w:val="0"/>
                      <w:szCs w:val="24"/>
                    </w:rPr>
                    <w:t>對應核心能力</w:t>
                  </w: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02/20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6C04D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xml:space="preserve">Introduction to the course &amp; Identifying a Study Question /Prof. </w:t>
                  </w:r>
                  <w:r w:rsidRPr="006C04DA">
                    <w:rPr>
                      <w:rFonts w:ascii="新細明體" w:eastAsia="新細明體" w:hAnsi="新細明體" w:cs="新細明體"/>
                      <w:kern w:val="0"/>
                      <w:szCs w:val="24"/>
                    </w:rPr>
                    <w:t>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6C04D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第2週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02/27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xml:space="preserve">Cross-Sectional Surveys: Rationale, Design, and Data Collection/Prof. </w:t>
                  </w:r>
                  <w:r w:rsidRPr="006C04DA">
                    <w:rPr>
                      <w:rFonts w:ascii="新細明體" w:eastAsia="新細明體" w:hAnsi="新細明體" w:cs="新細明體"/>
                      <w:kern w:val="0"/>
                      <w:szCs w:val="24"/>
                    </w:rPr>
                    <w:t>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第3週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03/06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xml:space="preserve">Introduction to systematic review and meta-analysis/ Prof. </w:t>
                  </w:r>
                  <w:r w:rsidRPr="006C04DA">
                    <w:rPr>
                      <w:rFonts w:ascii="新細明體" w:eastAsia="新細明體" w:hAnsi="新細明體" w:cs="新細明體"/>
                      <w:kern w:val="0"/>
                      <w:szCs w:val="24"/>
                    </w:rPr>
                    <w:t>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r w:rsidRPr="00DE420A">
                    <w:rPr>
                      <w:rFonts w:ascii="新細明體" w:eastAsia="新細明體" w:hAnsi="新細明體" w:cs="新細明體"/>
                      <w:kern w:val="0"/>
                      <w:szCs w:val="24"/>
                    </w:rPr>
                    <w:t xml:space="preserve"> &amp; TA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第4週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03/13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Scientific Writing for Proposals/</w:t>
                  </w:r>
                  <w:r w:rsidRPr="006C04DA">
                    <w:rPr>
                      <w:rFonts w:ascii="新細明體" w:eastAsia="新細明體" w:hAnsi="新細明體" w:cs="新細明體"/>
                      <w:kern w:val="0"/>
                      <w:szCs w:val="24"/>
                    </w:rPr>
                    <w:t xml:space="preserve"> 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第5週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03/20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Cohort Studies: Rationale, Design, and Data Collection/Prof. Kuo-Liong Chien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第6週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03/27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Evaluation of health service: Rationale, Design, and Data Collection/Prof. Ming-Chin Yang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第7週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04/03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Spring recess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第8週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04/10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xml:space="preserve">Case-Control Studies: Rationale, Design, and Data Collection/Prof. </w:t>
                  </w:r>
                  <w:r w:rsidRPr="006C04DA">
                    <w:rPr>
                      <w:rFonts w:ascii="新細明體" w:eastAsia="新細明體" w:hAnsi="新細明體" w:cs="新細明體"/>
                      <w:kern w:val="0"/>
                      <w:szCs w:val="24"/>
                    </w:rPr>
                    <w:t>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第9週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04/17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Experimental Studies: Rationale, Design, and Data Collection/Prof. Kuo-Liong Chien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第10週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04/24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Miscellaneous Types of Studies: Ecological Studies, Case Series, Qualitative Studies, and Systematic Reviews and Research Ethics /</w:t>
                  </w:r>
                  <w:r w:rsidRPr="006C04DA">
                    <w:rPr>
                      <w:rFonts w:ascii="新細明體" w:eastAsia="新細明體" w:hAnsi="新細明體" w:cs="新細明體"/>
                      <w:kern w:val="0"/>
                      <w:szCs w:val="24"/>
                    </w:rPr>
                    <w:t xml:space="preserve"> 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r w:rsidRPr="00DE420A">
                    <w:rPr>
                      <w:rFonts w:ascii="新細明體" w:eastAsia="新細明體" w:hAnsi="新細明體" w:cs="新細明體"/>
                      <w:kern w:val="0"/>
                      <w:szCs w:val="24"/>
                    </w:rPr>
                    <w:t>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第11週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05/01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Data Analysis: Data Management, Descriptive Analysis, and Comparative Statistics/Prof. Chuhsing Kate Hsiao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第12週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05/08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Data Analysis: Advanced Statistics/Prof. Chuhsing Kate Hsiao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第13週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05/15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Students’ Mid-Term Presentation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第14週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05/22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xml:space="preserve">Completing a Full Proposal/Prof. </w:t>
                  </w:r>
                  <w:r w:rsidRPr="006C04DA">
                    <w:rPr>
                      <w:rFonts w:ascii="新細明體" w:eastAsia="新細明體" w:hAnsi="新細明體" w:cs="新細明體"/>
                      <w:kern w:val="0"/>
                      <w:szCs w:val="24"/>
                    </w:rPr>
                    <w:t>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第15週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05/29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How to review a proposal </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第16週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06/05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 xml:space="preserve">Poster and Oral Presentations/Prof. </w:t>
                  </w:r>
                  <w:r w:rsidRPr="006C04DA">
                    <w:rPr>
                      <w:rFonts w:ascii="新細明體" w:eastAsia="新細明體" w:hAnsi="新細明體" w:cs="新細明體"/>
                      <w:kern w:val="0"/>
                      <w:szCs w:val="24"/>
                    </w:rPr>
                    <w:t>P</w:t>
                  </w:r>
                  <w:r>
                    <w:rPr>
                      <w:rFonts w:ascii="新細明體" w:eastAsia="新細明體" w:hAnsi="新細明體" w:cs="新細明體"/>
                      <w:kern w:val="0"/>
                      <w:szCs w:val="24"/>
                    </w:rPr>
                    <w:t>au</w:t>
                  </w:r>
                  <w:r w:rsidRPr="006C04DA">
                    <w:rPr>
                      <w:rFonts w:ascii="新細明體" w:eastAsia="新細明體" w:hAnsi="新細明體" w:cs="新細明體"/>
                      <w:kern w:val="0"/>
                      <w:szCs w:val="24"/>
                    </w:rPr>
                    <w:t>-C</w:t>
                  </w:r>
                  <w:r>
                    <w:rPr>
                      <w:rFonts w:ascii="新細明體" w:eastAsia="新細明體" w:hAnsi="新細明體" w:cs="新細明體"/>
                      <w:kern w:val="0"/>
                      <w:szCs w:val="24"/>
                    </w:rPr>
                    <w:t>hung</w:t>
                  </w:r>
                  <w:r w:rsidRPr="006C04DA">
                    <w:rPr>
                      <w:rFonts w:ascii="新細明體" w:eastAsia="新細明體" w:hAnsi="新細明體" w:cs="新細明體"/>
                      <w:kern w:val="0"/>
                      <w:szCs w:val="24"/>
                    </w:rPr>
                    <w:t xml:space="preserve"> C</w:t>
                  </w:r>
                  <w:r>
                    <w:rPr>
                      <w:rFonts w:ascii="新細明體" w:eastAsia="新細明體" w:hAnsi="新細明體" w:cs="新細明體"/>
                      <w:kern w:val="0"/>
                      <w:szCs w:val="24"/>
                    </w:rPr>
                    <w:t>hen</w:t>
                  </w:r>
                </w:p>
              </w:tc>
              <w:tc>
                <w:tcPr>
                  <w:tcW w:w="2427" w:type="dxa"/>
                  <w:tcBorders>
                    <w:top w:val="outset" w:sz="6" w:space="0" w:color="auto"/>
                    <w:left w:val="single" w:sz="24" w:space="0" w:color="ED7D31" w:themeColor="accent2"/>
                    <w:bottom w:val="outset" w:sz="6" w:space="0" w:color="auto"/>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r w:rsidR="00D04A09" w:rsidRPr="00DE420A" w:rsidTr="00B5215D">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jc w:val="center"/>
                    <w:rPr>
                      <w:rFonts w:ascii="新細明體" w:eastAsia="新細明體" w:hAnsi="新細明體" w:cs="新細明體"/>
                      <w:kern w:val="0"/>
                      <w:szCs w:val="24"/>
                    </w:rPr>
                  </w:pPr>
                  <w:r w:rsidRPr="00DE420A">
                    <w:rPr>
                      <w:rFonts w:ascii="新細明體" w:eastAsia="新細明體" w:hAnsi="新細明體" w:cs="新細明體"/>
                      <w:kern w:val="0"/>
                      <w:szCs w:val="24"/>
                    </w:rPr>
                    <w:t>第17週</w:t>
                  </w:r>
                </w:p>
              </w:tc>
              <w:tc>
                <w:tcPr>
                  <w:tcW w:w="900"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06/12 </w:t>
                  </w:r>
                </w:p>
              </w:tc>
              <w:tc>
                <w:tcPr>
                  <w:tcW w:w="6499" w:type="dxa"/>
                  <w:tcBorders>
                    <w:top w:val="outset" w:sz="6" w:space="0" w:color="auto"/>
                    <w:left w:val="outset" w:sz="6" w:space="0" w:color="auto"/>
                    <w:bottom w:val="outset" w:sz="6" w:space="0" w:color="auto"/>
                    <w:right w:val="outset" w:sz="6" w:space="0" w:color="auto"/>
                  </w:tcBorders>
                  <w:vAlign w:val="center"/>
                  <w:hideMark/>
                </w:tcPr>
                <w:p w:rsidR="00D04A09" w:rsidRPr="00DE420A" w:rsidRDefault="00D04A09" w:rsidP="00DE420A">
                  <w:pPr>
                    <w:widowControl/>
                    <w:spacing w:line="360" w:lineRule="atLeast"/>
                    <w:rPr>
                      <w:rFonts w:ascii="新細明體" w:eastAsia="新細明體" w:hAnsi="新細明體" w:cs="新細明體"/>
                      <w:kern w:val="0"/>
                      <w:szCs w:val="24"/>
                    </w:rPr>
                  </w:pPr>
                  <w:r w:rsidRPr="00DE420A">
                    <w:rPr>
                      <w:rFonts w:ascii="新細明體" w:eastAsia="新細明體" w:hAnsi="新細明體" w:cs="新細明體"/>
                      <w:kern w:val="0"/>
                      <w:szCs w:val="24"/>
                    </w:rPr>
                    <w:t>Student’s Presentation </w:t>
                  </w:r>
                </w:p>
              </w:tc>
              <w:tc>
                <w:tcPr>
                  <w:tcW w:w="2427" w:type="dxa"/>
                  <w:tcBorders>
                    <w:top w:val="outset" w:sz="6" w:space="0" w:color="auto"/>
                    <w:left w:val="single" w:sz="24" w:space="0" w:color="ED7D31" w:themeColor="accent2"/>
                    <w:bottom w:val="single" w:sz="24" w:space="0" w:color="ED7D31" w:themeColor="accent2"/>
                    <w:right w:val="single" w:sz="24" w:space="0" w:color="ED7D31" w:themeColor="accent2"/>
                  </w:tcBorders>
                </w:tcPr>
                <w:p w:rsidR="00D04A09" w:rsidRPr="00DE420A" w:rsidRDefault="00D04A09" w:rsidP="00DE420A">
                  <w:pPr>
                    <w:widowControl/>
                    <w:spacing w:line="360" w:lineRule="atLeast"/>
                    <w:rPr>
                      <w:rFonts w:ascii="新細明體" w:eastAsia="新細明體" w:hAnsi="新細明體" w:cs="新細明體"/>
                      <w:kern w:val="0"/>
                      <w:szCs w:val="24"/>
                    </w:rPr>
                  </w:pPr>
                </w:p>
              </w:tc>
            </w:tr>
          </w:tbl>
          <w:p w:rsidR="00DE420A" w:rsidRPr="00DE420A" w:rsidRDefault="00DE420A" w:rsidP="00DE420A">
            <w:pPr>
              <w:widowControl/>
              <w:spacing w:line="360" w:lineRule="atLeast"/>
              <w:rPr>
                <w:rFonts w:ascii="Times New Roman" w:eastAsia="新細明體" w:hAnsi="Times New Roman" w:cs="Times New Roman"/>
                <w:kern w:val="0"/>
                <w:szCs w:val="24"/>
              </w:rPr>
            </w:pPr>
          </w:p>
        </w:tc>
      </w:tr>
    </w:tbl>
    <w:p w:rsidR="00D04A09" w:rsidRPr="0008232A" w:rsidRDefault="00D04A09" w:rsidP="00B5215D">
      <w:pPr>
        <w:ind w:leftChars="-245" w:hangingChars="245" w:hanging="588"/>
        <w:jc w:val="center"/>
        <w:rPr>
          <w:rFonts w:eastAsia="新細明體"/>
        </w:rPr>
      </w:pPr>
      <w:r w:rsidRPr="0008232A">
        <w:rPr>
          <w:rFonts w:eastAsia="新細明體"/>
        </w:rPr>
        <w:lastRenderedPageBreak/>
        <w:t>系所</w:t>
      </w:r>
      <w:r w:rsidRPr="0008232A">
        <w:rPr>
          <w:rFonts w:eastAsia="新細明體"/>
        </w:rPr>
        <w:t>CEPH</w:t>
      </w:r>
      <w:r w:rsidRPr="0008232A">
        <w:rPr>
          <w:rFonts w:eastAsia="新細明體"/>
        </w:rPr>
        <w:t>核心能力</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3"/>
        <w:gridCol w:w="8647"/>
      </w:tblGrid>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w:t>
            </w:r>
            <w:r w:rsidRPr="0094473D">
              <w:rPr>
                <w:rFonts w:hint="eastAsia"/>
                <w:b/>
              </w:rPr>
              <w:t>1</w:t>
            </w:r>
          </w:p>
        </w:tc>
        <w:tc>
          <w:tcPr>
            <w:tcW w:w="8647" w:type="dxa"/>
            <w:shd w:val="clear" w:color="auto" w:fill="FFFFFF" w:themeFill="background1"/>
          </w:tcPr>
          <w:p w:rsidR="00D04A09" w:rsidRPr="00F56F19" w:rsidRDefault="00D04A09" w:rsidP="00B5215D">
            <w:pPr>
              <w:spacing w:line="240" w:lineRule="atLeast"/>
            </w:pPr>
            <w:r w:rsidRPr="00F56F19">
              <w:rPr>
                <w:rFonts w:ascii="Arial" w:hAnsi="Arial" w:cs="Arial"/>
                <w:bCs/>
                <w:sz w:val="20"/>
                <w:szCs w:val="20"/>
              </w:rPr>
              <w:t>Explain public health history, philosophy and values</w:t>
            </w:r>
            <w:r w:rsidRPr="00F56F19">
              <w:rPr>
                <w:rFonts w:ascii="Arial" w:hAnsi="Arial" w:cs="Arial"/>
                <w:bCs/>
                <w:sz w:val="20"/>
                <w:szCs w:val="20"/>
              </w:rPr>
              <w:br/>
            </w:r>
            <w:r w:rsidRPr="00F56F19">
              <w:rPr>
                <w:rFonts w:ascii="Arial" w:hAnsi="Arial" w:cs="Arial"/>
                <w:bCs/>
                <w:sz w:val="20"/>
                <w:szCs w:val="20"/>
              </w:rPr>
              <w:t>解釋公共衛生史，哲學和價值觀</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-2</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Identify the core functions of public health and the 10 Essential Services*</w:t>
            </w:r>
            <w:r>
              <w:rPr>
                <w:rFonts w:ascii="Arial" w:hAnsi="Arial" w:cs="Arial"/>
                <w:sz w:val="20"/>
                <w:szCs w:val="20"/>
              </w:rPr>
              <w:br/>
            </w:r>
            <w:r>
              <w:rPr>
                <w:rFonts w:ascii="Arial" w:hAnsi="Arial" w:cs="Arial"/>
                <w:sz w:val="20"/>
                <w:szCs w:val="20"/>
              </w:rPr>
              <w:t>辨別公共衛生和</w:t>
            </w:r>
            <w:r>
              <w:rPr>
                <w:rFonts w:ascii="Arial" w:hAnsi="Arial" w:cs="Arial"/>
                <w:sz w:val="20"/>
                <w:szCs w:val="20"/>
              </w:rPr>
              <w:t>10</w:t>
            </w:r>
            <w:r>
              <w:rPr>
                <w:rFonts w:ascii="Arial" w:hAnsi="Arial" w:cs="Arial"/>
                <w:sz w:val="20"/>
                <w:szCs w:val="20"/>
              </w:rPr>
              <w:t>項基本服務的核心職能</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-3</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the role of quantitative and qualitative methods and sciences in describing and assessing a population’s health</w:t>
            </w:r>
            <w:r>
              <w:rPr>
                <w:rFonts w:ascii="Arial" w:hAnsi="Arial" w:cs="Arial"/>
                <w:sz w:val="20"/>
                <w:szCs w:val="20"/>
              </w:rPr>
              <w:br/>
            </w:r>
            <w:r>
              <w:rPr>
                <w:rFonts w:ascii="Arial" w:hAnsi="Arial" w:cs="Arial"/>
                <w:sz w:val="20"/>
                <w:szCs w:val="20"/>
              </w:rPr>
              <w:t>解釋定量和定性方法和科學在描述和評估人口健康方面的作用</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w:t>
            </w:r>
            <w:r w:rsidRPr="0094473D">
              <w:rPr>
                <w:rFonts w:hint="eastAsia"/>
                <w:b/>
              </w:rPr>
              <w:t>4</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List major causes and trends of morbidity and mortality in the US or other community relevant to the school or program</w:t>
            </w:r>
            <w:r>
              <w:rPr>
                <w:rFonts w:ascii="Arial" w:hAnsi="Arial" w:cs="Arial"/>
                <w:sz w:val="20"/>
                <w:szCs w:val="20"/>
              </w:rPr>
              <w:br/>
            </w:r>
            <w:r>
              <w:rPr>
                <w:rFonts w:ascii="Arial" w:hAnsi="Arial" w:cs="Arial"/>
                <w:sz w:val="20"/>
                <w:szCs w:val="20"/>
              </w:rPr>
              <w:t>列出美國或與學校或計劃相關的其他社區的發病率和死亡率的主要原因和趨勢</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-5</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Discuss the science of primary, secondary and tertiary prevention in population health, including health promotion, screening, etc.</w:t>
            </w:r>
            <w:r>
              <w:rPr>
                <w:rFonts w:ascii="Arial" w:hAnsi="Arial" w:cs="Arial"/>
                <w:sz w:val="20"/>
                <w:szCs w:val="20"/>
              </w:rPr>
              <w:br/>
            </w:r>
            <w:r>
              <w:rPr>
                <w:rFonts w:ascii="Arial" w:hAnsi="Arial" w:cs="Arial"/>
                <w:sz w:val="20"/>
                <w:szCs w:val="20"/>
              </w:rPr>
              <w:t>討論人口健康中的一級，二級和三級預防科學，包括健康促進，篩檢等</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-6</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the critical importance of evidence in advancing public health knowledge</w:t>
            </w:r>
            <w:r>
              <w:rPr>
                <w:rFonts w:ascii="Arial" w:hAnsi="Arial" w:cs="Arial"/>
                <w:sz w:val="20"/>
                <w:szCs w:val="20"/>
              </w:rPr>
              <w:br/>
            </w:r>
            <w:r>
              <w:rPr>
                <w:rFonts w:ascii="Arial" w:hAnsi="Arial" w:cs="Arial"/>
                <w:sz w:val="20"/>
                <w:szCs w:val="20"/>
              </w:rPr>
              <w:t>解釋實證在推進公共衛生知識方面的重要性</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-7</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effects of environmental factors on a population’s health</w:t>
            </w:r>
            <w:r>
              <w:rPr>
                <w:rFonts w:ascii="Arial" w:hAnsi="Arial" w:cs="Arial"/>
                <w:sz w:val="20"/>
                <w:szCs w:val="20"/>
              </w:rPr>
              <w:br/>
            </w:r>
            <w:r>
              <w:rPr>
                <w:rFonts w:ascii="Arial" w:hAnsi="Arial" w:cs="Arial"/>
                <w:sz w:val="20"/>
                <w:szCs w:val="20"/>
              </w:rPr>
              <w:t>解釋環境因素對人口健康的影響</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-8</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biological and genetic factors that affect a population’s health</w:t>
            </w:r>
            <w:r>
              <w:rPr>
                <w:rFonts w:ascii="Arial" w:hAnsi="Arial" w:cs="Arial"/>
                <w:sz w:val="20"/>
                <w:szCs w:val="20"/>
              </w:rPr>
              <w:br/>
            </w:r>
            <w:r>
              <w:rPr>
                <w:rFonts w:ascii="Arial" w:hAnsi="Arial" w:cs="Arial"/>
                <w:sz w:val="20"/>
                <w:szCs w:val="20"/>
              </w:rPr>
              <w:t>解釋影響人口健康的生物和遺傳因素</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-9</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behavioral and psychological factors that affect a population’s health</w:t>
            </w:r>
            <w:r>
              <w:rPr>
                <w:rFonts w:ascii="Arial" w:hAnsi="Arial" w:cs="Arial"/>
                <w:sz w:val="20"/>
                <w:szCs w:val="20"/>
              </w:rPr>
              <w:br/>
            </w:r>
            <w:r>
              <w:rPr>
                <w:rFonts w:ascii="Arial" w:hAnsi="Arial" w:cs="Arial"/>
                <w:sz w:val="20"/>
                <w:szCs w:val="20"/>
              </w:rPr>
              <w:t>解釋影響人口健康的行為和心理因素</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-10</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the social, political and economic determinants of health and how they contribute to population health and health inequities</w:t>
            </w:r>
            <w:r>
              <w:rPr>
                <w:rFonts w:ascii="Arial" w:hAnsi="Arial" w:cs="Arial"/>
                <w:sz w:val="20"/>
                <w:szCs w:val="20"/>
              </w:rPr>
              <w:br/>
            </w:r>
            <w:r>
              <w:rPr>
                <w:rFonts w:ascii="Arial" w:hAnsi="Arial" w:cs="Arial"/>
                <w:sz w:val="20"/>
                <w:szCs w:val="20"/>
              </w:rPr>
              <w:t>解釋健康的社會，政治和經濟決定因素以及它們如何促進人口健康和健康不公平</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-11</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how globalization affects global burdens of disease</w:t>
            </w:r>
            <w:r>
              <w:rPr>
                <w:rFonts w:ascii="Arial" w:hAnsi="Arial" w:cs="Arial"/>
                <w:sz w:val="20"/>
                <w:szCs w:val="20"/>
              </w:rPr>
              <w:br/>
            </w:r>
            <w:r>
              <w:rPr>
                <w:rFonts w:ascii="Arial" w:hAnsi="Arial" w:cs="Arial"/>
                <w:sz w:val="20"/>
                <w:szCs w:val="20"/>
              </w:rPr>
              <w:t>解釋全球化如何影響全球疾病負擔</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sidRPr="0094473D">
              <w:rPr>
                <w:b/>
              </w:rPr>
              <w:t>D1</w:t>
            </w:r>
            <w:r>
              <w:rPr>
                <w:rFonts w:hint="eastAsia"/>
                <w:b/>
              </w:rPr>
              <w:t>7</w:t>
            </w:r>
            <w:r w:rsidRPr="0094473D">
              <w:rPr>
                <w:b/>
              </w:rPr>
              <w:t>-12</w:t>
            </w:r>
          </w:p>
        </w:tc>
        <w:tc>
          <w:tcPr>
            <w:tcW w:w="8647" w:type="dxa"/>
            <w:shd w:val="clear" w:color="auto" w:fill="FFFFFF" w:themeFill="background1"/>
          </w:tcPr>
          <w:p w:rsidR="00D04A09" w:rsidRPr="0094473D" w:rsidRDefault="00D04A09" w:rsidP="00B5215D">
            <w:pPr>
              <w:spacing w:line="240" w:lineRule="atLeast"/>
            </w:pPr>
            <w:r>
              <w:rPr>
                <w:rFonts w:ascii="Arial" w:hAnsi="Arial" w:cs="Arial"/>
                <w:sz w:val="20"/>
                <w:szCs w:val="20"/>
              </w:rPr>
              <w:t>Explain an ecological perspective on the connections among human health, animal health and ecosystem health (eg, One Health)</w:t>
            </w:r>
            <w:r>
              <w:rPr>
                <w:rFonts w:ascii="Arial" w:hAnsi="Arial" w:cs="Arial"/>
                <w:sz w:val="20"/>
                <w:szCs w:val="20"/>
              </w:rPr>
              <w:br/>
            </w:r>
            <w:r>
              <w:rPr>
                <w:rFonts w:ascii="Arial" w:hAnsi="Arial" w:cs="Arial"/>
                <w:sz w:val="20"/>
                <w:szCs w:val="20"/>
              </w:rPr>
              <w:t>解釋人類健康，動物健康和生態系統健康之間關係的生態學觀點（例如，共享健康）</w:t>
            </w:r>
          </w:p>
        </w:tc>
      </w:tr>
      <w:tr w:rsidR="00D04A09" w:rsidTr="00B5215D">
        <w:trPr>
          <w:jc w:val="center"/>
        </w:trPr>
        <w:tc>
          <w:tcPr>
            <w:tcW w:w="9640" w:type="dxa"/>
            <w:gridSpan w:val="2"/>
            <w:shd w:val="clear" w:color="auto" w:fill="FFFFFF" w:themeFill="background1"/>
          </w:tcPr>
          <w:p w:rsidR="00D04A09" w:rsidRPr="0094473D" w:rsidRDefault="00D04A09" w:rsidP="00B5215D">
            <w:pPr>
              <w:spacing w:line="240" w:lineRule="atLeast"/>
            </w:pPr>
            <w:r w:rsidRPr="00F56F19">
              <w:t>MGH Concentration Competencies (adopted from ASPPH MPH in Global Health)</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Pr>
                <w:rFonts w:hint="eastAsia"/>
                <w:b/>
              </w:rPr>
              <w:t>1</w:t>
            </w:r>
          </w:p>
        </w:tc>
        <w:tc>
          <w:tcPr>
            <w:tcW w:w="8647" w:type="dxa"/>
            <w:shd w:val="clear" w:color="auto" w:fill="FFFFFF" w:themeFill="background1"/>
          </w:tcPr>
          <w:p w:rsidR="00D04A09" w:rsidRPr="0094473D" w:rsidRDefault="00D04A09" w:rsidP="00B5215D">
            <w:pPr>
              <w:spacing w:line="240" w:lineRule="atLeast"/>
            </w:pPr>
            <w:r w:rsidRPr="0094473D">
              <w:t>Analyze the roles, relationships, and resources of the entities influencing global health</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Pr>
                <w:rFonts w:hint="eastAsia"/>
                <w:b/>
              </w:rPr>
              <w:t>2</w:t>
            </w:r>
          </w:p>
        </w:tc>
        <w:tc>
          <w:tcPr>
            <w:tcW w:w="8647" w:type="dxa"/>
            <w:shd w:val="clear" w:color="auto" w:fill="FFFFFF" w:themeFill="background1"/>
          </w:tcPr>
          <w:p w:rsidR="00D04A09" w:rsidRPr="0094473D" w:rsidRDefault="00D04A09" w:rsidP="00B5215D">
            <w:pPr>
              <w:spacing w:line="240" w:lineRule="atLeast"/>
            </w:pPr>
            <w:r w:rsidRPr="0094473D">
              <w:t>Apply ethical approaches in global health research and practice</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Pr>
                <w:rFonts w:hint="eastAsia"/>
                <w:b/>
              </w:rPr>
              <w:t>3</w:t>
            </w:r>
          </w:p>
        </w:tc>
        <w:tc>
          <w:tcPr>
            <w:tcW w:w="8647" w:type="dxa"/>
            <w:shd w:val="clear" w:color="auto" w:fill="FFFFFF" w:themeFill="background1"/>
          </w:tcPr>
          <w:p w:rsidR="00D04A09" w:rsidRPr="0094473D" w:rsidRDefault="00D04A09" w:rsidP="00B5215D">
            <w:pPr>
              <w:spacing w:line="240" w:lineRule="atLeast"/>
            </w:pPr>
            <w:r w:rsidRPr="0094473D">
              <w:t>Apply monitoring and evaluation techniques to global health programs, policies, and outcomes</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Pr>
                <w:rFonts w:hint="eastAsia"/>
                <w:b/>
              </w:rPr>
              <w:t>4</w:t>
            </w:r>
          </w:p>
        </w:tc>
        <w:tc>
          <w:tcPr>
            <w:tcW w:w="8647" w:type="dxa"/>
            <w:shd w:val="clear" w:color="auto" w:fill="FFFFFF" w:themeFill="background1"/>
          </w:tcPr>
          <w:p w:rsidR="00D04A09" w:rsidRPr="0094473D" w:rsidRDefault="00D04A09" w:rsidP="00B5215D">
            <w:pPr>
              <w:spacing w:line="240" w:lineRule="atLeast"/>
            </w:pPr>
            <w:r w:rsidRPr="0094473D">
              <w:t>Propose sustainable and evidence-based multi-sectoral interventions, considering the social determinants of health specific to the local area</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Pr>
                <w:rFonts w:hint="eastAsia"/>
                <w:b/>
              </w:rPr>
              <w:t>5</w:t>
            </w:r>
          </w:p>
        </w:tc>
        <w:tc>
          <w:tcPr>
            <w:tcW w:w="8647" w:type="dxa"/>
            <w:shd w:val="clear" w:color="auto" w:fill="FFFFFF" w:themeFill="background1"/>
          </w:tcPr>
          <w:p w:rsidR="00D04A09" w:rsidRPr="0094473D" w:rsidRDefault="00D04A09" w:rsidP="00B5215D">
            <w:pPr>
              <w:spacing w:line="240" w:lineRule="atLeast"/>
            </w:pPr>
            <w:r w:rsidRPr="0094473D">
              <w:t>Design sustainable workforce development strategies for resource-limited settings</w:t>
            </w:r>
          </w:p>
        </w:tc>
      </w:tr>
      <w:tr w:rsidR="00D04A09" w:rsidTr="00B5215D">
        <w:trPr>
          <w:jc w:val="center"/>
        </w:trPr>
        <w:tc>
          <w:tcPr>
            <w:tcW w:w="993" w:type="dxa"/>
            <w:shd w:val="clear" w:color="auto" w:fill="FFFFFF" w:themeFill="background1"/>
          </w:tcPr>
          <w:p w:rsidR="00D04A09" w:rsidRPr="0094473D" w:rsidRDefault="00D04A09" w:rsidP="00B5215D">
            <w:pPr>
              <w:spacing w:line="240" w:lineRule="atLeast"/>
              <w:rPr>
                <w:b/>
              </w:rPr>
            </w:pPr>
            <w:r>
              <w:rPr>
                <w:rFonts w:hint="eastAsia"/>
                <w:b/>
              </w:rPr>
              <w:t>6</w:t>
            </w:r>
          </w:p>
        </w:tc>
        <w:tc>
          <w:tcPr>
            <w:tcW w:w="8647" w:type="dxa"/>
            <w:shd w:val="clear" w:color="auto" w:fill="FFFFFF" w:themeFill="background1"/>
          </w:tcPr>
          <w:p w:rsidR="00D04A09" w:rsidRPr="0094473D" w:rsidRDefault="00D04A09" w:rsidP="00B5215D">
            <w:pPr>
              <w:spacing w:line="240" w:lineRule="atLeast"/>
            </w:pPr>
            <w:r w:rsidRPr="0094473D">
              <w:t>Display critical self-reflection, cultural humility, and ongoing learning in global health</w:t>
            </w:r>
          </w:p>
        </w:tc>
      </w:tr>
    </w:tbl>
    <w:p w:rsidR="0045008E" w:rsidRDefault="0045008E" w:rsidP="00B5215D">
      <w:pPr>
        <w:widowControl/>
        <w:rPr>
          <w:rFonts w:ascii="新細明體" w:eastAsia="新細明體" w:hAnsi="新細明體" w:cs="新細明體"/>
          <w:kern w:val="0"/>
          <w:szCs w:val="24"/>
        </w:rPr>
      </w:pPr>
    </w:p>
    <w:p w:rsidR="007C0A13" w:rsidRDefault="007C0A13" w:rsidP="00DE420A">
      <w:pPr>
        <w:widowControl/>
        <w:rPr>
          <w:rFonts w:ascii="新細明體" w:eastAsia="新細明體" w:hAnsi="新細明體" w:cs="新細明體"/>
          <w:kern w:val="0"/>
          <w:szCs w:val="24"/>
        </w:rPr>
      </w:pPr>
    </w:p>
    <w:p w:rsidR="00DE420A" w:rsidRPr="0045008E" w:rsidRDefault="00DE420A" w:rsidP="00DE420A">
      <w:pPr>
        <w:widowControl/>
        <w:rPr>
          <w:rFonts w:ascii="新細明體" w:eastAsia="新細明體" w:hAnsi="新細明體" w:cs="新細明體"/>
          <w:vanish/>
          <w:kern w:val="0"/>
          <w:szCs w:val="24"/>
        </w:rPr>
      </w:pPr>
    </w:p>
    <w:p w:rsidR="007D73F1" w:rsidRDefault="007D73F1"/>
    <w:sectPr w:rsidR="007D73F1" w:rsidSect="00B521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8E" w:rsidRDefault="0045008E" w:rsidP="0045008E">
      <w:r>
        <w:separator/>
      </w:r>
    </w:p>
  </w:endnote>
  <w:endnote w:type="continuationSeparator" w:id="0">
    <w:p w:rsidR="0045008E" w:rsidRDefault="0045008E" w:rsidP="0045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8E" w:rsidRDefault="0045008E" w:rsidP="0045008E">
      <w:r>
        <w:separator/>
      </w:r>
    </w:p>
  </w:footnote>
  <w:footnote w:type="continuationSeparator" w:id="0">
    <w:p w:rsidR="0045008E" w:rsidRDefault="0045008E" w:rsidP="0045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0A"/>
    <w:rsid w:val="00287A5D"/>
    <w:rsid w:val="0045008E"/>
    <w:rsid w:val="006C04DA"/>
    <w:rsid w:val="007C0A13"/>
    <w:rsid w:val="007D73F1"/>
    <w:rsid w:val="0081583A"/>
    <w:rsid w:val="00AA7B20"/>
    <w:rsid w:val="00AF4FDB"/>
    <w:rsid w:val="00B032C8"/>
    <w:rsid w:val="00B5215D"/>
    <w:rsid w:val="00C43813"/>
    <w:rsid w:val="00D04A09"/>
    <w:rsid w:val="00DE420A"/>
    <w:rsid w:val="00F82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C086642-8563-45AB-9A4B-68DD678A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420A"/>
    <w:rPr>
      <w:b/>
      <w:bCs/>
    </w:rPr>
  </w:style>
  <w:style w:type="character" w:styleId="a4">
    <w:name w:val="Hyperlink"/>
    <w:basedOn w:val="a0"/>
    <w:uiPriority w:val="99"/>
    <w:semiHidden/>
    <w:unhideWhenUsed/>
    <w:rsid w:val="00DE420A"/>
    <w:rPr>
      <w:color w:val="0000FF"/>
      <w:u w:val="single"/>
    </w:rPr>
  </w:style>
  <w:style w:type="paragraph" w:styleId="Web">
    <w:name w:val="Normal (Web)"/>
    <w:basedOn w:val="a"/>
    <w:uiPriority w:val="99"/>
    <w:semiHidden/>
    <w:unhideWhenUsed/>
    <w:rsid w:val="00DE420A"/>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45008E"/>
    <w:pPr>
      <w:tabs>
        <w:tab w:val="center" w:pos="4153"/>
        <w:tab w:val="right" w:pos="8306"/>
      </w:tabs>
      <w:snapToGrid w:val="0"/>
    </w:pPr>
    <w:rPr>
      <w:sz w:val="20"/>
      <w:szCs w:val="20"/>
    </w:rPr>
  </w:style>
  <w:style w:type="character" w:customStyle="1" w:styleId="a6">
    <w:name w:val="頁首 字元"/>
    <w:basedOn w:val="a0"/>
    <w:link w:val="a5"/>
    <w:uiPriority w:val="99"/>
    <w:rsid w:val="0045008E"/>
    <w:rPr>
      <w:sz w:val="20"/>
      <w:szCs w:val="20"/>
    </w:rPr>
  </w:style>
  <w:style w:type="paragraph" w:styleId="a7">
    <w:name w:val="footer"/>
    <w:basedOn w:val="a"/>
    <w:link w:val="a8"/>
    <w:uiPriority w:val="99"/>
    <w:unhideWhenUsed/>
    <w:rsid w:val="0045008E"/>
    <w:pPr>
      <w:tabs>
        <w:tab w:val="center" w:pos="4153"/>
        <w:tab w:val="right" w:pos="8306"/>
      </w:tabs>
      <w:snapToGrid w:val="0"/>
    </w:pPr>
    <w:rPr>
      <w:sz w:val="20"/>
      <w:szCs w:val="20"/>
    </w:rPr>
  </w:style>
  <w:style w:type="character" w:customStyle="1" w:styleId="a8">
    <w:name w:val="頁尾 字元"/>
    <w:basedOn w:val="a0"/>
    <w:link w:val="a7"/>
    <w:uiPriority w:val="99"/>
    <w:rsid w:val="004500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緗琪 何</cp:lastModifiedBy>
  <cp:revision>11</cp:revision>
  <dcterms:created xsi:type="dcterms:W3CDTF">2019-11-26T06:38:00Z</dcterms:created>
  <dcterms:modified xsi:type="dcterms:W3CDTF">2020-01-03T10:37:00Z</dcterms:modified>
</cp:coreProperties>
</file>